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4686" w:rsidRDefault="00000000">
      <w:pPr>
        <w:pStyle w:val="Heading3"/>
        <w:spacing w:before="0" w:after="0" w:line="240" w:lineRule="auto"/>
        <w:ind w:left="0" w:firstLine="0"/>
        <w:rPr>
          <w:rStyle w:val="Heading1Char"/>
          <w:rFonts w:ascii="Book Antiqua" w:hAnsi="Book Antiqua" w:cs="Arial"/>
          <w:b w:val="0"/>
          <w:sz w:val="32"/>
          <w:lang w:val="en-GB"/>
        </w:rPr>
      </w:pPr>
      <w:r>
        <w:rPr>
          <w:rStyle w:val="Heading1Char"/>
          <w:rFonts w:ascii="Book Antiqua" w:hAnsi="Book Antiqua"/>
          <w:b w:val="0"/>
          <w:sz w:val="32"/>
          <w:lang w:val="en-GB"/>
        </w:rPr>
        <w:t xml:space="preserve">Adapt or Perish: Women’s Resiliency in Tourism Village during the COVID-19 Pandemic </w:t>
      </w:r>
      <w:r>
        <w:rPr>
          <w:rStyle w:val="Heading1Char"/>
          <w:rFonts w:ascii="Book Antiqua" w:hAnsi="Book Antiqua" w:cs="Arial"/>
          <w:b w:val="0"/>
          <w:sz w:val="32"/>
          <w:lang w:val="en-GB"/>
        </w:rPr>
        <w:t xml:space="preserve">in </w:t>
      </w:r>
      <w:proofErr w:type="spellStart"/>
      <w:r>
        <w:rPr>
          <w:rStyle w:val="Heading1Char"/>
          <w:rFonts w:ascii="Book Antiqua" w:hAnsi="Book Antiqua" w:cs="Arial"/>
          <w:b w:val="0"/>
          <w:sz w:val="32"/>
          <w:lang w:val="en-GB"/>
        </w:rPr>
        <w:t>Nglanggeran</w:t>
      </w:r>
      <w:proofErr w:type="spellEnd"/>
    </w:p>
    <w:p w:rsidR="000F4686" w:rsidRDefault="000F4686">
      <w:pPr>
        <w:pStyle w:val="Heading3"/>
        <w:spacing w:before="0" w:after="0" w:line="240" w:lineRule="auto"/>
        <w:jc w:val="both"/>
        <w:rPr>
          <w:rStyle w:val="Heading1Char"/>
          <w:rFonts w:ascii="Book Antiqua" w:hAnsi="Book Antiqua" w:cs="Arial"/>
          <w:sz w:val="24"/>
          <w:lang w:val="en-GB"/>
        </w:rPr>
      </w:pPr>
    </w:p>
    <w:p w:rsidR="000F4686" w:rsidRDefault="00000000">
      <w:pPr>
        <w:spacing w:line="240" w:lineRule="auto"/>
        <w:rPr>
          <w:rStyle w:val="Heading1Char"/>
          <w:rFonts w:ascii="Book Antiqua" w:eastAsia="MS Mincho" w:hAnsi="Book Antiqua" w:cs="Arial"/>
          <w:b w:val="0"/>
          <w:sz w:val="24"/>
          <w:lang w:val="en-GB" w:eastAsia="ja-JP"/>
        </w:rPr>
      </w:pPr>
      <w:r>
        <w:rPr>
          <w:rStyle w:val="Heading1Char"/>
          <w:rFonts w:ascii="Book Antiqua" w:eastAsia="MS Mincho" w:hAnsi="Book Antiqua" w:cs="Arial"/>
          <w:b w:val="0"/>
          <w:sz w:val="24"/>
          <w:lang w:val="en-GB" w:eastAsia="ja-JP"/>
        </w:rPr>
        <w:t>Authors’ list</w:t>
      </w:r>
    </w:p>
    <w:p w:rsidR="000F4686" w:rsidRDefault="00000000">
      <w:pPr>
        <w:spacing w:line="240" w:lineRule="auto"/>
        <w:rPr>
          <w:rStyle w:val="Heading1Char"/>
          <w:rFonts w:ascii="Book Antiqua" w:eastAsia="MS Mincho" w:hAnsi="Book Antiqua" w:cs="Arial"/>
          <w:b w:val="0"/>
          <w:sz w:val="24"/>
          <w:lang w:val="en-GB" w:eastAsia="fi-FI"/>
        </w:rPr>
      </w:pPr>
      <w:r>
        <w:rPr>
          <w:rStyle w:val="Heading1Char"/>
          <w:rFonts w:ascii="Book Antiqua" w:eastAsia="MS Mincho" w:hAnsi="Book Antiqua" w:cs="Arial"/>
          <w:b w:val="0"/>
          <w:sz w:val="24"/>
          <w:lang w:val="en-GB" w:eastAsia="ja-JP"/>
        </w:rPr>
        <w:t>Authors’ Institutions</w:t>
      </w:r>
    </w:p>
    <w:p w:rsidR="000F4686" w:rsidRDefault="000F4686">
      <w:pPr>
        <w:pBdr>
          <w:bottom w:val="single" w:sz="12" w:space="1" w:color="auto"/>
        </w:pBdr>
        <w:spacing w:line="240" w:lineRule="auto"/>
        <w:rPr>
          <w:rFonts w:ascii="Arial" w:hAnsi="Arial" w:cs="Arial"/>
          <w:lang w:val="en-GB" w:eastAsia="ja-JP"/>
        </w:rPr>
      </w:pPr>
    </w:p>
    <w:p w:rsidR="000F4686" w:rsidRDefault="000F4686">
      <w:pPr>
        <w:rPr>
          <w:rFonts w:ascii="Arial" w:hAnsi="Arial" w:cs="Arial"/>
          <w:lang w:val="en-GB"/>
        </w:rPr>
      </w:pPr>
    </w:p>
    <w:tbl>
      <w:tblPr>
        <w:tblW w:w="9934" w:type="dxa"/>
        <w:tblLook w:val="04A0" w:firstRow="1" w:lastRow="0" w:firstColumn="1" w:lastColumn="0" w:noHBand="0" w:noVBand="1"/>
      </w:tblPr>
      <w:tblGrid>
        <w:gridCol w:w="3675"/>
        <w:gridCol w:w="361"/>
        <w:gridCol w:w="5898"/>
      </w:tblGrid>
      <w:tr w:rsidR="000F4686">
        <w:trPr>
          <w:trHeight w:val="348"/>
        </w:trPr>
        <w:tc>
          <w:tcPr>
            <w:tcW w:w="3675" w:type="dxa"/>
            <w:tcBorders>
              <w:bottom w:val="single" w:sz="8" w:space="0" w:color="auto"/>
            </w:tcBorders>
            <w:shd w:val="clear" w:color="auto" w:fill="F2F2F2"/>
          </w:tcPr>
          <w:p w:rsidR="000F4686" w:rsidRDefault="00000000">
            <w:pPr>
              <w:spacing w:before="60" w:after="60"/>
              <w:jc w:val="left"/>
              <w:rPr>
                <w:rFonts w:ascii="Book Antiqua" w:hAnsi="Book Antiqua" w:cs="Arial"/>
                <w:smallCaps/>
                <w:szCs w:val="18"/>
                <w:lang w:val="en-GB"/>
              </w:rPr>
            </w:pPr>
            <w:r>
              <w:rPr>
                <w:rFonts w:ascii="Book Antiqua" w:hAnsi="Book Antiqua" w:cs="Arial"/>
                <w:smallCaps/>
                <w:szCs w:val="18"/>
                <w:lang w:val="en-GB"/>
              </w:rPr>
              <w:t>Article Information</w:t>
            </w:r>
          </w:p>
        </w:tc>
        <w:tc>
          <w:tcPr>
            <w:tcW w:w="361" w:type="dxa"/>
            <w:vMerge w:val="restart"/>
          </w:tcPr>
          <w:p w:rsidR="000F4686" w:rsidRDefault="000F4686">
            <w:pPr>
              <w:spacing w:after="120"/>
              <w:jc w:val="left"/>
              <w:rPr>
                <w:rFonts w:ascii="Book Antiqua" w:hAnsi="Book Antiqua" w:cs="Arial"/>
                <w:szCs w:val="18"/>
                <w:lang w:val="en-GB"/>
              </w:rPr>
            </w:pPr>
          </w:p>
        </w:tc>
        <w:tc>
          <w:tcPr>
            <w:tcW w:w="5898" w:type="dxa"/>
            <w:tcBorders>
              <w:bottom w:val="single" w:sz="8" w:space="0" w:color="auto"/>
            </w:tcBorders>
          </w:tcPr>
          <w:p w:rsidR="000F4686" w:rsidRDefault="00000000">
            <w:pPr>
              <w:spacing w:after="120"/>
              <w:jc w:val="left"/>
              <w:rPr>
                <w:rFonts w:ascii="Book Antiqua" w:hAnsi="Book Antiqua" w:cs="Arial"/>
                <w:b/>
                <w:bCs/>
                <w:spacing w:val="100"/>
                <w:szCs w:val="18"/>
                <w:lang w:val="en-GB"/>
              </w:rPr>
            </w:pPr>
            <w:r>
              <w:rPr>
                <w:rFonts w:ascii="Book Antiqua" w:hAnsi="Book Antiqua" w:cs="Arial"/>
                <w:b/>
                <w:bCs/>
                <w:spacing w:val="100"/>
                <w:szCs w:val="18"/>
                <w:lang w:val="en-GB"/>
              </w:rPr>
              <w:t>ABSTRACT</w:t>
            </w:r>
          </w:p>
        </w:tc>
      </w:tr>
      <w:tr w:rsidR="000F4686">
        <w:trPr>
          <w:trHeight w:val="940"/>
        </w:trPr>
        <w:tc>
          <w:tcPr>
            <w:tcW w:w="3675" w:type="dxa"/>
            <w:tcBorders>
              <w:top w:val="single" w:sz="8" w:space="0" w:color="auto"/>
            </w:tcBorders>
          </w:tcPr>
          <w:p w:rsidR="000F4686" w:rsidRDefault="000F4686">
            <w:pPr>
              <w:spacing w:before="120"/>
              <w:rPr>
                <w:rFonts w:ascii="Book Antiqua" w:hAnsi="Book Antiqua" w:cs="Arial"/>
                <w:i/>
                <w:szCs w:val="18"/>
                <w:lang w:val="en-GB"/>
              </w:rPr>
            </w:pPr>
          </w:p>
          <w:p w:rsidR="000F4686" w:rsidRDefault="00000000">
            <w:pPr>
              <w:suppressAutoHyphens/>
              <w:autoSpaceDE w:val="0"/>
              <w:autoSpaceDN w:val="0"/>
              <w:adjustRightInd w:val="0"/>
              <w:snapToGrid w:val="0"/>
              <w:jc w:val="left"/>
              <w:rPr>
                <w:rFonts w:ascii="Book Antiqua" w:hAnsi="Book Antiqua" w:cs="Calibri"/>
                <w:szCs w:val="18"/>
                <w:lang w:val="en-GB"/>
              </w:rPr>
            </w:pPr>
            <w:r>
              <w:rPr>
                <w:rFonts w:ascii="Book Antiqua" w:hAnsi="Book Antiqua" w:cs="Calibri"/>
                <w:b/>
                <w:szCs w:val="18"/>
                <w:lang w:val="en-GB" w:eastAsia="ja-JP"/>
              </w:rPr>
              <w:t>Submitted</w:t>
            </w:r>
            <w:r>
              <w:rPr>
                <w:rFonts w:ascii="Book Antiqua" w:hAnsi="Book Antiqua" w:cs="Calibri"/>
                <w:b/>
                <w:szCs w:val="18"/>
                <w:lang w:val="en-GB"/>
              </w:rPr>
              <w:t>:</w:t>
            </w:r>
            <w:r>
              <w:rPr>
                <w:rFonts w:ascii="Book Antiqua" w:hAnsi="Book Antiqua" w:cs="Calibri"/>
                <w:szCs w:val="18"/>
                <w:lang w:val="en-GB"/>
              </w:rPr>
              <w:t xml:space="preserve"> </w:t>
            </w:r>
            <w:r>
              <w:rPr>
                <w:rStyle w:val="PlaceholderText"/>
                <w:rFonts w:ascii="Book Antiqua" w:hAnsi="Book Antiqua"/>
                <w:szCs w:val="18"/>
                <w:lang w:val="en-GB"/>
              </w:rPr>
              <w:t>Click or tap to enter a date.</w:t>
            </w:r>
          </w:p>
          <w:p w:rsidR="000F4686" w:rsidRDefault="00000000">
            <w:pPr>
              <w:suppressAutoHyphens/>
              <w:autoSpaceDE w:val="0"/>
              <w:autoSpaceDN w:val="0"/>
              <w:adjustRightInd w:val="0"/>
              <w:snapToGrid w:val="0"/>
              <w:jc w:val="left"/>
              <w:rPr>
                <w:rFonts w:ascii="Book Antiqua" w:hAnsi="Book Antiqua" w:cs="Calibri"/>
                <w:szCs w:val="18"/>
                <w:lang w:val="en-GB"/>
              </w:rPr>
            </w:pPr>
            <w:r>
              <w:rPr>
                <w:rFonts w:ascii="Book Antiqua" w:hAnsi="Book Antiqua" w:cs="Calibri"/>
                <w:b/>
                <w:szCs w:val="18"/>
                <w:lang w:val="en-GB" w:eastAsia="ja-JP"/>
              </w:rPr>
              <w:t>Review</w:t>
            </w:r>
            <w:r>
              <w:rPr>
                <w:rFonts w:ascii="Book Antiqua" w:hAnsi="Book Antiqua" w:cs="Calibri"/>
                <w:b/>
                <w:szCs w:val="18"/>
                <w:lang w:val="en-GB"/>
              </w:rPr>
              <w:t xml:space="preserve">: </w:t>
            </w:r>
            <w:r>
              <w:rPr>
                <w:rStyle w:val="PlaceholderText"/>
                <w:rFonts w:ascii="Book Antiqua" w:hAnsi="Book Antiqua"/>
                <w:szCs w:val="18"/>
                <w:lang w:val="en-GB"/>
              </w:rPr>
              <w:t>Click or tap to enter a date.</w:t>
            </w:r>
          </w:p>
          <w:p w:rsidR="000F4686" w:rsidRDefault="00000000">
            <w:pPr>
              <w:suppressAutoHyphens/>
              <w:autoSpaceDE w:val="0"/>
              <w:autoSpaceDN w:val="0"/>
              <w:adjustRightInd w:val="0"/>
              <w:snapToGrid w:val="0"/>
              <w:jc w:val="left"/>
              <w:rPr>
                <w:rFonts w:ascii="Book Antiqua" w:hAnsi="Book Antiqua" w:cs="Calibri"/>
                <w:szCs w:val="18"/>
                <w:lang w:val="en-GB"/>
              </w:rPr>
            </w:pPr>
            <w:r>
              <w:rPr>
                <w:rFonts w:ascii="Book Antiqua" w:hAnsi="Book Antiqua" w:cs="Calibri"/>
                <w:b/>
                <w:szCs w:val="18"/>
                <w:lang w:val="en-GB" w:eastAsia="ja-JP"/>
              </w:rPr>
              <w:t>Accepted</w:t>
            </w:r>
            <w:r>
              <w:rPr>
                <w:rFonts w:ascii="Book Antiqua" w:hAnsi="Book Antiqua" w:cs="Calibri"/>
                <w:b/>
                <w:szCs w:val="18"/>
                <w:lang w:val="en-GB"/>
              </w:rPr>
              <w:t xml:space="preserve">: </w:t>
            </w:r>
            <w:r>
              <w:rPr>
                <w:rStyle w:val="PlaceholderText"/>
                <w:rFonts w:ascii="Book Antiqua" w:hAnsi="Book Antiqua"/>
                <w:szCs w:val="18"/>
                <w:lang w:val="en-GB"/>
              </w:rPr>
              <w:t>Click or tap to enter a date.</w:t>
            </w:r>
          </w:p>
          <w:p w:rsidR="000F4686" w:rsidRDefault="00000000">
            <w:pPr>
              <w:suppressAutoHyphens/>
              <w:autoSpaceDE w:val="0"/>
              <w:autoSpaceDN w:val="0"/>
              <w:adjustRightInd w:val="0"/>
              <w:snapToGrid w:val="0"/>
              <w:jc w:val="left"/>
              <w:rPr>
                <w:rFonts w:ascii="Book Antiqua" w:hAnsi="Book Antiqua" w:cs="Calibri"/>
                <w:szCs w:val="18"/>
                <w:lang w:val="en-GB"/>
              </w:rPr>
            </w:pPr>
            <w:r>
              <w:rPr>
                <w:rFonts w:ascii="Book Antiqua" w:hAnsi="Book Antiqua" w:cs="Calibri"/>
                <w:b/>
                <w:szCs w:val="18"/>
                <w:lang w:val="en-GB" w:eastAsia="ja-JP"/>
              </w:rPr>
              <w:t>Published</w:t>
            </w:r>
            <w:r>
              <w:rPr>
                <w:rFonts w:ascii="Book Antiqua" w:hAnsi="Book Antiqua" w:cs="Calibri"/>
                <w:b/>
                <w:szCs w:val="18"/>
                <w:lang w:val="en-GB"/>
              </w:rPr>
              <w:t xml:space="preserve">: </w:t>
            </w:r>
            <w:r>
              <w:rPr>
                <w:rStyle w:val="PlaceholderText"/>
                <w:rFonts w:ascii="Book Antiqua" w:hAnsi="Book Antiqua"/>
                <w:szCs w:val="18"/>
                <w:lang w:val="en-GB"/>
              </w:rPr>
              <w:t>Click or tap to enter a date.</w:t>
            </w:r>
          </w:p>
          <w:p w:rsidR="000F4686" w:rsidRDefault="000F4686">
            <w:pPr>
              <w:rPr>
                <w:rFonts w:ascii="Book Antiqua" w:hAnsi="Book Antiqua" w:cs="Arial"/>
                <w:szCs w:val="18"/>
                <w:lang w:val="en-GB"/>
              </w:rPr>
            </w:pPr>
          </w:p>
        </w:tc>
        <w:tc>
          <w:tcPr>
            <w:tcW w:w="361" w:type="dxa"/>
            <w:vMerge/>
          </w:tcPr>
          <w:p w:rsidR="000F4686" w:rsidRDefault="000F4686">
            <w:pPr>
              <w:rPr>
                <w:rFonts w:ascii="Book Antiqua" w:hAnsi="Book Antiqua" w:cs="Arial"/>
                <w:szCs w:val="18"/>
                <w:lang w:val="en-GB"/>
              </w:rPr>
            </w:pPr>
          </w:p>
        </w:tc>
        <w:tc>
          <w:tcPr>
            <w:tcW w:w="5898" w:type="dxa"/>
            <w:vMerge w:val="restart"/>
            <w:tcBorders>
              <w:top w:val="single" w:sz="8" w:space="0" w:color="auto"/>
            </w:tcBorders>
          </w:tcPr>
          <w:p w:rsidR="000F4686" w:rsidRDefault="00000000">
            <w:pPr>
              <w:pStyle w:val="Heading3"/>
              <w:spacing w:before="60" w:after="0" w:line="240" w:lineRule="auto"/>
              <w:ind w:left="0" w:firstLine="0"/>
              <w:jc w:val="both"/>
              <w:rPr>
                <w:rFonts w:ascii="Book Antiqua" w:eastAsia="MS Mincho" w:hAnsi="Book Antiqua" w:cs="Arial"/>
                <w:i w:val="0"/>
                <w:sz w:val="18"/>
                <w:szCs w:val="18"/>
                <w:lang w:val="en-GB" w:eastAsia="ja-JP"/>
              </w:rPr>
            </w:pPr>
            <w:r>
              <w:rPr>
                <w:rFonts w:ascii="Book Antiqua" w:hAnsi="Book Antiqua"/>
                <w:i w:val="0"/>
                <w:sz w:val="18"/>
                <w:szCs w:val="18"/>
                <w:lang w:val="en-GB"/>
              </w:rPr>
              <w:t xml:space="preserve">The growth of tourism villages is a central tenet of Indonesia’s tourism development policy. Nevertheless, based on the number of affected workers, the tourism village is one of the types of Indonesian tourist destinations hardest impacted by the COVID-19 pandemic. The pandemic has nearly entirely paralyzed the majority of tourism-related activities in the tourism village of </w:t>
            </w:r>
            <w:proofErr w:type="spellStart"/>
            <w:r>
              <w:rPr>
                <w:rFonts w:ascii="Book Antiqua" w:hAnsi="Book Antiqua"/>
                <w:i w:val="0"/>
                <w:sz w:val="18"/>
                <w:szCs w:val="18"/>
                <w:lang w:val="en-GB"/>
              </w:rPr>
              <w:t>Nglanggeran</w:t>
            </w:r>
            <w:proofErr w:type="spellEnd"/>
            <w:r>
              <w:rPr>
                <w:rFonts w:ascii="Book Antiqua" w:hAnsi="Book Antiqua"/>
                <w:i w:val="0"/>
                <w:sz w:val="18"/>
                <w:szCs w:val="18"/>
                <w:lang w:val="en-GB"/>
              </w:rPr>
              <w:t xml:space="preserve"> in Java. However, one unit has remained operational, namely </w:t>
            </w:r>
            <w:proofErr w:type="spellStart"/>
            <w:r>
              <w:rPr>
                <w:rFonts w:ascii="Book Antiqua" w:hAnsi="Book Antiqua"/>
                <w:i w:val="0"/>
                <w:sz w:val="18"/>
                <w:szCs w:val="18"/>
                <w:lang w:val="en-GB"/>
              </w:rPr>
              <w:t>Griya</w:t>
            </w:r>
            <w:proofErr w:type="spellEnd"/>
            <w:r>
              <w:rPr>
                <w:rFonts w:ascii="Book Antiqua" w:hAnsi="Book Antiqua"/>
                <w:i w:val="0"/>
                <w:sz w:val="18"/>
                <w:szCs w:val="18"/>
                <w:lang w:val="en-GB"/>
              </w:rPr>
              <w:t xml:space="preserve"> </w:t>
            </w:r>
            <w:proofErr w:type="spellStart"/>
            <w:r>
              <w:rPr>
                <w:rFonts w:ascii="Book Antiqua" w:hAnsi="Book Antiqua"/>
                <w:i w:val="0"/>
                <w:sz w:val="18"/>
                <w:szCs w:val="18"/>
                <w:lang w:val="en-GB"/>
              </w:rPr>
              <w:t>Cokelat</w:t>
            </w:r>
            <w:proofErr w:type="spellEnd"/>
            <w:r>
              <w:rPr>
                <w:rFonts w:ascii="Book Antiqua" w:hAnsi="Book Antiqua"/>
                <w:i w:val="0"/>
                <w:sz w:val="18"/>
                <w:szCs w:val="18"/>
                <w:lang w:val="en-GB"/>
              </w:rPr>
              <w:t>, the women-led cocoa processing work unit. This study seeks to examine the situation of female workers in the tourism village during the pandemic, the capacity of women to acquire technology skills to bolster tourism resilience, and the impact of these activities on domestic relationships. The data collection included observing the working conditions of women in the tourism industry during the pandemic, conducting interviews with eleven informants, and examining pertinent literature. As a consequence of the COVID-19 pandemic, it was discovered that these women have had to learn more keenly how to use technology in order to shift their offline to online sales. Their technological adaptation has helped the tourism village’s resilience efforts.  Women’s ability to use technology—in this example, the Internet—supports the change in gender roles in families.</w:t>
            </w:r>
          </w:p>
          <w:p w:rsidR="000F4686" w:rsidRDefault="000F4686">
            <w:pPr>
              <w:rPr>
                <w:lang w:val="en-GB" w:eastAsia="ja-JP"/>
              </w:rPr>
            </w:pPr>
          </w:p>
          <w:p w:rsidR="000F4686" w:rsidRDefault="000F4686">
            <w:pPr>
              <w:rPr>
                <w:lang w:val="en-GB" w:eastAsia="ja-JP"/>
              </w:rPr>
            </w:pPr>
          </w:p>
        </w:tc>
      </w:tr>
      <w:tr w:rsidR="000F4686">
        <w:trPr>
          <w:trHeight w:val="348"/>
        </w:trPr>
        <w:tc>
          <w:tcPr>
            <w:tcW w:w="3675" w:type="dxa"/>
            <w:tcBorders>
              <w:bottom w:val="single" w:sz="8" w:space="0" w:color="auto"/>
            </w:tcBorders>
            <w:shd w:val="clear" w:color="auto" w:fill="F2F2F2"/>
          </w:tcPr>
          <w:p w:rsidR="000F4686" w:rsidRDefault="00000000">
            <w:pPr>
              <w:spacing w:before="60" w:after="60"/>
              <w:rPr>
                <w:rFonts w:ascii="Book Antiqua" w:hAnsi="Book Antiqua" w:cs="Arial"/>
                <w:smallCaps/>
                <w:szCs w:val="18"/>
                <w:lang w:val="en-GB"/>
              </w:rPr>
            </w:pPr>
            <w:r>
              <w:rPr>
                <w:rFonts w:ascii="Book Antiqua" w:hAnsi="Book Antiqua" w:cs="Arial"/>
                <w:smallCaps/>
                <w:szCs w:val="18"/>
                <w:lang w:val="en-GB"/>
              </w:rPr>
              <w:t>Keywords</w:t>
            </w:r>
          </w:p>
        </w:tc>
        <w:tc>
          <w:tcPr>
            <w:tcW w:w="361" w:type="dxa"/>
            <w:vMerge/>
          </w:tcPr>
          <w:p w:rsidR="000F4686" w:rsidRDefault="000F4686">
            <w:pPr>
              <w:spacing w:after="120"/>
              <w:rPr>
                <w:rFonts w:ascii="Book Antiqua" w:hAnsi="Book Antiqua" w:cs="Arial"/>
                <w:szCs w:val="18"/>
                <w:lang w:val="en-GB"/>
              </w:rPr>
            </w:pPr>
          </w:p>
        </w:tc>
        <w:tc>
          <w:tcPr>
            <w:tcW w:w="5898" w:type="dxa"/>
            <w:vMerge/>
          </w:tcPr>
          <w:p w:rsidR="000F4686" w:rsidRDefault="000F4686">
            <w:pPr>
              <w:spacing w:after="120"/>
              <w:rPr>
                <w:rFonts w:ascii="Book Antiqua" w:hAnsi="Book Antiqua" w:cs="Arial"/>
                <w:szCs w:val="18"/>
                <w:lang w:val="en-GB"/>
              </w:rPr>
            </w:pPr>
          </w:p>
        </w:tc>
      </w:tr>
      <w:tr w:rsidR="000F4686">
        <w:trPr>
          <w:trHeight w:val="278"/>
        </w:trPr>
        <w:tc>
          <w:tcPr>
            <w:tcW w:w="3675" w:type="dxa"/>
            <w:tcBorders>
              <w:top w:val="single" w:sz="8" w:space="0" w:color="auto"/>
            </w:tcBorders>
          </w:tcPr>
          <w:p w:rsidR="000F4686" w:rsidRDefault="00000000">
            <w:pPr>
              <w:spacing w:before="120" w:after="120"/>
              <w:jc w:val="left"/>
              <w:rPr>
                <w:rFonts w:ascii="Book Antiqua" w:hAnsi="Book Antiqua" w:cs="Arial"/>
                <w:szCs w:val="18"/>
                <w:lang w:val="en-GB"/>
              </w:rPr>
            </w:pPr>
            <w:r>
              <w:rPr>
                <w:rFonts w:ascii="Book Antiqua" w:hAnsi="Book Antiqua"/>
                <w:szCs w:val="18"/>
                <w:lang w:val="en-GB"/>
              </w:rPr>
              <w:t xml:space="preserve">women tourism workers, tourism resilience, </w:t>
            </w:r>
            <w:proofErr w:type="spellStart"/>
            <w:r>
              <w:rPr>
                <w:rFonts w:ascii="Book Antiqua" w:hAnsi="Book Antiqua"/>
                <w:szCs w:val="18"/>
                <w:lang w:val="en-GB"/>
              </w:rPr>
              <w:t>Nglanggeran</w:t>
            </w:r>
            <w:proofErr w:type="spellEnd"/>
            <w:r>
              <w:rPr>
                <w:rFonts w:ascii="Book Antiqua" w:hAnsi="Book Antiqua"/>
                <w:szCs w:val="18"/>
                <w:lang w:val="en-GB"/>
              </w:rPr>
              <w:t xml:space="preserve"> Tourism Village, COVID-19 Pandemic,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p>
        </w:tc>
        <w:tc>
          <w:tcPr>
            <w:tcW w:w="361" w:type="dxa"/>
            <w:vMerge/>
          </w:tcPr>
          <w:p w:rsidR="000F4686" w:rsidRDefault="000F4686">
            <w:pPr>
              <w:rPr>
                <w:rFonts w:ascii="Book Antiqua" w:hAnsi="Book Antiqua" w:cs="Arial"/>
                <w:szCs w:val="18"/>
                <w:lang w:val="en-GB"/>
              </w:rPr>
            </w:pPr>
          </w:p>
        </w:tc>
        <w:tc>
          <w:tcPr>
            <w:tcW w:w="5898" w:type="dxa"/>
            <w:vMerge/>
          </w:tcPr>
          <w:p w:rsidR="000F4686" w:rsidRDefault="000F4686">
            <w:pPr>
              <w:rPr>
                <w:rFonts w:ascii="Book Antiqua" w:hAnsi="Book Antiqua" w:cs="Arial"/>
                <w:szCs w:val="18"/>
                <w:lang w:val="en-GB"/>
              </w:rPr>
            </w:pPr>
          </w:p>
        </w:tc>
      </w:tr>
      <w:tr w:rsidR="000F4686">
        <w:trPr>
          <w:trHeight w:val="278"/>
        </w:trPr>
        <w:tc>
          <w:tcPr>
            <w:tcW w:w="3675" w:type="dxa"/>
            <w:tcBorders>
              <w:bottom w:val="single" w:sz="8" w:space="0" w:color="auto"/>
            </w:tcBorders>
            <w:shd w:val="clear" w:color="auto" w:fill="F2F2F2"/>
          </w:tcPr>
          <w:p w:rsidR="000F4686" w:rsidRDefault="00000000">
            <w:pPr>
              <w:spacing w:before="60" w:after="60"/>
              <w:rPr>
                <w:rFonts w:ascii="Book Antiqua" w:hAnsi="Book Antiqua" w:cs="Arial"/>
                <w:smallCaps/>
                <w:szCs w:val="18"/>
                <w:lang w:val="en-GB"/>
              </w:rPr>
            </w:pPr>
            <w:r>
              <w:rPr>
                <w:rFonts w:ascii="Book Antiqua" w:hAnsi="Book Antiqua" w:cs="Arial"/>
                <w:smallCaps/>
                <w:szCs w:val="18"/>
                <w:lang w:val="en-GB"/>
              </w:rPr>
              <w:t>Correspondence</w:t>
            </w:r>
          </w:p>
        </w:tc>
        <w:tc>
          <w:tcPr>
            <w:tcW w:w="361" w:type="dxa"/>
            <w:vMerge/>
          </w:tcPr>
          <w:p w:rsidR="000F4686" w:rsidRDefault="000F4686">
            <w:pPr>
              <w:rPr>
                <w:rFonts w:ascii="Book Antiqua" w:hAnsi="Book Antiqua" w:cs="Arial"/>
                <w:szCs w:val="18"/>
                <w:lang w:val="en-GB"/>
              </w:rPr>
            </w:pPr>
          </w:p>
        </w:tc>
        <w:tc>
          <w:tcPr>
            <w:tcW w:w="5898" w:type="dxa"/>
            <w:vMerge/>
          </w:tcPr>
          <w:p w:rsidR="000F4686" w:rsidRDefault="000F4686">
            <w:pPr>
              <w:rPr>
                <w:rFonts w:ascii="Book Antiqua" w:hAnsi="Book Antiqua" w:cs="Arial"/>
                <w:szCs w:val="18"/>
                <w:lang w:val="en-GB"/>
              </w:rPr>
            </w:pPr>
          </w:p>
        </w:tc>
      </w:tr>
      <w:tr w:rsidR="000F4686">
        <w:trPr>
          <w:trHeight w:val="278"/>
        </w:trPr>
        <w:tc>
          <w:tcPr>
            <w:tcW w:w="3675" w:type="dxa"/>
            <w:tcBorders>
              <w:top w:val="single" w:sz="8" w:space="0" w:color="auto"/>
              <w:bottom w:val="single" w:sz="8" w:space="0" w:color="auto"/>
            </w:tcBorders>
          </w:tcPr>
          <w:p w:rsidR="000F4686" w:rsidRDefault="00000000">
            <w:pPr>
              <w:spacing w:before="120" w:line="360" w:lineRule="auto"/>
              <w:rPr>
                <w:rFonts w:ascii="Book Antiqua" w:hAnsi="Book Antiqua" w:cs="Arial"/>
                <w:szCs w:val="18"/>
                <w:lang w:val="en-GB"/>
              </w:rPr>
            </w:pPr>
            <w:r>
              <w:rPr>
                <w:rFonts w:ascii="Book Antiqua" w:hAnsi="Book Antiqua" w:cs="Arial"/>
                <w:szCs w:val="18"/>
                <w:lang w:val="en-GB"/>
              </w:rPr>
              <w:t xml:space="preserve">Phone: </w:t>
            </w:r>
            <w:r>
              <w:rPr>
                <w:rFonts w:ascii="Book Antiqua" w:hAnsi="Book Antiqua" w:cs="Arial"/>
                <w:szCs w:val="18"/>
                <w:lang w:val="en-GB"/>
              </w:rPr>
              <w:fldChar w:fldCharType="begin"/>
            </w:r>
            <w:r>
              <w:rPr>
                <w:rFonts w:ascii="Book Antiqua" w:hAnsi="Book Antiqua" w:cs="Arial"/>
                <w:szCs w:val="18"/>
                <w:lang w:val="en-GB"/>
              </w:rPr>
              <w:instrText xml:space="preserve"> MACROBUTTON Tel +62 (0751) 12345678 </w:instrText>
            </w:r>
            <w:r>
              <w:rPr>
                <w:rFonts w:ascii="Book Antiqua" w:hAnsi="Book Antiqua" w:cs="Arial"/>
                <w:szCs w:val="18"/>
                <w:lang w:val="en-GB"/>
              </w:rPr>
              <w:fldChar w:fldCharType="end"/>
            </w:r>
          </w:p>
          <w:p w:rsidR="000F4686" w:rsidRDefault="00000000">
            <w:pPr>
              <w:spacing w:line="360" w:lineRule="auto"/>
              <w:rPr>
                <w:rFonts w:ascii="Book Antiqua" w:hAnsi="Book Antiqua" w:cs="Arial"/>
                <w:szCs w:val="18"/>
                <w:lang w:val="en-GB"/>
              </w:rPr>
            </w:pPr>
            <w:r>
              <w:rPr>
                <w:rFonts w:ascii="Book Antiqua" w:hAnsi="Book Antiqua" w:cs="Arial"/>
                <w:szCs w:val="18"/>
                <w:lang w:val="en-GB"/>
              </w:rPr>
              <w:t xml:space="preserve">E-mail: </w:t>
            </w:r>
            <w:r>
              <w:rPr>
                <w:rFonts w:ascii="Book Antiqua" w:hAnsi="Book Antiqua" w:cs="Arial"/>
                <w:szCs w:val="18"/>
                <w:lang w:val="en-GB"/>
              </w:rPr>
              <w:fldChar w:fldCharType="begin"/>
            </w:r>
            <w:r>
              <w:rPr>
                <w:rFonts w:ascii="Book Antiqua" w:hAnsi="Book Antiqua" w:cs="Arial"/>
                <w:szCs w:val="18"/>
                <w:lang w:val="en-GB"/>
              </w:rPr>
              <w:instrText xml:space="preserve"> MACROBUTTON Email first_author@affiliation.xx.xx </w:instrText>
            </w:r>
            <w:r>
              <w:rPr>
                <w:rFonts w:ascii="Book Antiqua" w:hAnsi="Book Antiqua" w:cs="Arial"/>
                <w:szCs w:val="18"/>
                <w:lang w:val="en-GB"/>
              </w:rPr>
              <w:fldChar w:fldCharType="end"/>
            </w:r>
          </w:p>
        </w:tc>
        <w:tc>
          <w:tcPr>
            <w:tcW w:w="361" w:type="dxa"/>
            <w:vMerge/>
          </w:tcPr>
          <w:p w:rsidR="000F4686" w:rsidRDefault="000F4686">
            <w:pPr>
              <w:rPr>
                <w:rFonts w:ascii="Book Antiqua" w:hAnsi="Book Antiqua" w:cs="Arial"/>
                <w:szCs w:val="18"/>
                <w:lang w:val="en-GB"/>
              </w:rPr>
            </w:pPr>
          </w:p>
        </w:tc>
        <w:tc>
          <w:tcPr>
            <w:tcW w:w="5898" w:type="dxa"/>
            <w:vMerge/>
            <w:tcBorders>
              <w:bottom w:val="single" w:sz="8" w:space="0" w:color="auto"/>
            </w:tcBorders>
          </w:tcPr>
          <w:p w:rsidR="000F4686" w:rsidRDefault="000F4686">
            <w:pPr>
              <w:rPr>
                <w:rFonts w:ascii="Book Antiqua" w:hAnsi="Book Antiqua" w:cs="Arial"/>
                <w:szCs w:val="18"/>
                <w:lang w:val="en-GB"/>
              </w:rPr>
            </w:pPr>
          </w:p>
        </w:tc>
      </w:tr>
    </w:tbl>
    <w:p w:rsidR="000F4686" w:rsidRDefault="000F4686">
      <w:pPr>
        <w:rPr>
          <w:rFonts w:ascii="Arial" w:hAnsi="Arial" w:cs="Arial"/>
          <w:lang w:val="en-GB"/>
        </w:rPr>
        <w:sectPr w:rsidR="000F4686">
          <w:headerReference w:type="even" r:id="rId7"/>
          <w:headerReference w:type="default" r:id="rId8"/>
          <w:footerReference w:type="even" r:id="rId9"/>
          <w:footerReference w:type="default" r:id="rId10"/>
          <w:headerReference w:type="first" r:id="rId11"/>
          <w:footerReference w:type="first" r:id="rId12"/>
          <w:type w:val="continuous"/>
          <w:pgSz w:w="11900" w:h="16840"/>
          <w:pgMar w:top="2637" w:right="851" w:bottom="1134" w:left="1134" w:header="851" w:footer="851" w:gutter="0"/>
          <w:cols w:space="720"/>
          <w:titlePg/>
          <w:docGrid w:linePitch="360"/>
        </w:sectPr>
      </w:pPr>
    </w:p>
    <w:p w:rsidR="000F4686" w:rsidRDefault="00000000">
      <w:pPr>
        <w:pStyle w:val="Heading1"/>
        <w:numPr>
          <w:ilvl w:val="0"/>
          <w:numId w:val="2"/>
        </w:numPr>
        <w:ind w:left="426" w:hanging="426"/>
        <w:rPr>
          <w:rFonts w:ascii="Book Antiqua" w:hAnsi="Book Antiqua" w:cs="Arial"/>
          <w:sz w:val="20"/>
          <w:szCs w:val="20"/>
          <w:lang w:val="en-GB"/>
        </w:rPr>
      </w:pPr>
      <w:r>
        <w:rPr>
          <w:rFonts w:ascii="Book Antiqua" w:hAnsi="Book Antiqua" w:cs="Arial"/>
          <w:sz w:val="20"/>
          <w:szCs w:val="20"/>
          <w:lang w:val="en-GB"/>
        </w:rPr>
        <w:t>INTRODUCTION</w:t>
      </w:r>
    </w:p>
    <w:p w:rsidR="000F4686" w:rsidRDefault="00000000">
      <w:pPr>
        <w:keepNext/>
        <w:framePr w:dropCap="drop" w:lines="3" w:wrap="around" w:vAnchor="text" w:hAnchor="text"/>
        <w:spacing w:line="651" w:lineRule="exact"/>
        <w:textAlignment w:val="baseline"/>
        <w:rPr>
          <w:rFonts w:ascii="Book Antiqua" w:hAnsi="Book Antiqua"/>
          <w:position w:val="-8"/>
          <w:sz w:val="80"/>
          <w:szCs w:val="22"/>
          <w:lang w:val="en-GB"/>
        </w:rPr>
      </w:pPr>
      <w:r>
        <w:rPr>
          <w:rFonts w:ascii="Book Antiqua" w:hAnsi="Book Antiqua"/>
          <w:position w:val="-8"/>
          <w:sz w:val="80"/>
          <w:szCs w:val="22"/>
          <w:lang w:val="en-GB"/>
        </w:rPr>
        <w:t>T</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he magnitude of the negative impact of the COVID-19 pandemic on tourism quickly became a source of concern for global academics (Lew et al., 2020). Because of the COVID-19 outbreak, human contact and mobility are not advised. At the same time, many countries and tourist destinations impose travel restrictions for tourists, both foreign and domestic (Aiello et al., 2020; Chen et al., 2020; Fong et al., 2020; Hall et al., 2020; </w:t>
      </w:r>
      <w:proofErr w:type="spellStart"/>
      <w:r>
        <w:rPr>
          <w:rFonts w:ascii="Book Antiqua" w:hAnsi="Book Antiqua"/>
          <w:szCs w:val="22"/>
          <w:lang w:val="en-GB"/>
        </w:rPr>
        <w:t>Niewiadomski</w:t>
      </w:r>
      <w:proofErr w:type="spellEnd"/>
      <w:r>
        <w:rPr>
          <w:rFonts w:ascii="Book Antiqua" w:hAnsi="Book Antiqua"/>
          <w:szCs w:val="22"/>
          <w:lang w:val="en-GB"/>
        </w:rPr>
        <w:t>, 2020; Tremblay-</w:t>
      </w:r>
      <w:proofErr w:type="spellStart"/>
      <w:r>
        <w:rPr>
          <w:rFonts w:ascii="Book Antiqua" w:hAnsi="Book Antiqua"/>
          <w:szCs w:val="22"/>
          <w:lang w:val="en-GB"/>
        </w:rPr>
        <w:t>Huet</w:t>
      </w:r>
      <w:proofErr w:type="spellEnd"/>
      <w:r>
        <w:rPr>
          <w:rFonts w:ascii="Book Antiqua" w:hAnsi="Book Antiqua"/>
          <w:szCs w:val="22"/>
          <w:lang w:val="en-GB"/>
        </w:rPr>
        <w:t xml:space="preserve">, 2020; </w:t>
      </w:r>
      <w:proofErr w:type="spellStart"/>
      <w:r>
        <w:rPr>
          <w:rFonts w:ascii="Book Antiqua" w:hAnsi="Book Antiqua"/>
          <w:szCs w:val="22"/>
          <w:lang w:val="en-GB"/>
        </w:rPr>
        <w:t>Persada</w:t>
      </w:r>
      <w:proofErr w:type="spellEnd"/>
      <w:r>
        <w:rPr>
          <w:rFonts w:ascii="Book Antiqua" w:hAnsi="Book Antiqua"/>
          <w:szCs w:val="22"/>
          <w:lang w:val="en-GB"/>
        </w:rPr>
        <w:t xml:space="preserve"> &amp; Aji, 2021). The COVID-19 pandemic has disrupted the entire tourism supply chain and value chain, like airlines, hotels, restaurants, and cruise ships must deal with risks and uncertainties (Pan et al., 2021; Quintal et al., 2021; Chen et al., 2020; Chua et al., 2020; Dube et al., 2020; Gallego &amp; Font, 2020; </w:t>
      </w:r>
      <w:proofErr w:type="spellStart"/>
      <w:r>
        <w:rPr>
          <w:rFonts w:ascii="Book Antiqua" w:hAnsi="Book Antiqua"/>
          <w:szCs w:val="22"/>
          <w:lang w:val="en-GB"/>
        </w:rPr>
        <w:t>Gössling</w:t>
      </w:r>
      <w:proofErr w:type="spellEnd"/>
      <w:r>
        <w:rPr>
          <w:rFonts w:ascii="Book Antiqua" w:hAnsi="Book Antiqua"/>
          <w:szCs w:val="22"/>
          <w:lang w:val="en-GB"/>
        </w:rPr>
        <w:t xml:space="preserve"> et al., 2020; </w:t>
      </w:r>
      <w:proofErr w:type="spellStart"/>
      <w:r>
        <w:rPr>
          <w:rFonts w:ascii="Book Antiqua" w:hAnsi="Book Antiqua"/>
          <w:szCs w:val="22"/>
          <w:lang w:val="en-GB"/>
        </w:rPr>
        <w:t>Ou</w:t>
      </w:r>
      <w:proofErr w:type="spellEnd"/>
      <w:r>
        <w:rPr>
          <w:rFonts w:ascii="Book Antiqua" w:hAnsi="Book Antiqua"/>
          <w:szCs w:val="22"/>
          <w:lang w:val="en-GB"/>
        </w:rPr>
        <w:t xml:space="preserve"> &amp; Wong, 2020; </w:t>
      </w:r>
      <w:proofErr w:type="spellStart"/>
      <w:r>
        <w:rPr>
          <w:rFonts w:ascii="Book Antiqua" w:hAnsi="Book Antiqua"/>
          <w:szCs w:val="22"/>
          <w:lang w:val="en-GB"/>
        </w:rPr>
        <w:t>Persada</w:t>
      </w:r>
      <w:proofErr w:type="spellEnd"/>
      <w:r>
        <w:rPr>
          <w:rFonts w:ascii="Book Antiqua" w:hAnsi="Book Antiqua"/>
          <w:szCs w:val="22"/>
          <w:lang w:val="en-GB"/>
        </w:rPr>
        <w:t xml:space="preserve"> &amp; Aji, 2021). Not only private businesses, but also communities and local organisations involved in the tourism industry, are forced to face difficult circumstances due to disruptions </w:t>
      </w:r>
      <w:r>
        <w:rPr>
          <w:rFonts w:ascii="Book Antiqua" w:hAnsi="Book Antiqua"/>
          <w:szCs w:val="22"/>
          <w:lang w:val="en-GB"/>
        </w:rPr>
        <w:t>in their livelihoods (</w:t>
      </w:r>
      <w:proofErr w:type="spellStart"/>
      <w:r>
        <w:rPr>
          <w:rFonts w:ascii="Book Antiqua" w:hAnsi="Book Antiqua"/>
          <w:szCs w:val="22"/>
          <w:lang w:val="en-GB"/>
        </w:rPr>
        <w:t>Carr</w:t>
      </w:r>
      <w:proofErr w:type="spellEnd"/>
      <w:r>
        <w:rPr>
          <w:rFonts w:ascii="Book Antiqua" w:hAnsi="Book Antiqua"/>
          <w:szCs w:val="22"/>
          <w:lang w:val="en-GB"/>
        </w:rPr>
        <w:t xml:space="preserve">, 2020; Ioannides &amp; </w:t>
      </w:r>
      <w:proofErr w:type="spellStart"/>
      <w:r>
        <w:rPr>
          <w:rFonts w:ascii="Book Antiqua" w:hAnsi="Book Antiqua"/>
          <w:szCs w:val="22"/>
          <w:lang w:val="en-GB"/>
        </w:rPr>
        <w:t>Gyimóthy</w:t>
      </w:r>
      <w:proofErr w:type="spellEnd"/>
      <w:r>
        <w:rPr>
          <w:rFonts w:ascii="Book Antiqua" w:hAnsi="Book Antiqua"/>
          <w:szCs w:val="22"/>
          <w:lang w:val="en-GB"/>
        </w:rPr>
        <w:t>, 2020).</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The tourism industry’s bleak face in the midst of the COVID-19 pandemic can be seen empirically in </w:t>
      </w:r>
      <w:proofErr w:type="spellStart"/>
      <w:r>
        <w:rPr>
          <w:rFonts w:ascii="Book Antiqua" w:hAnsi="Book Antiqua"/>
          <w:szCs w:val="22"/>
          <w:lang w:val="en-GB"/>
        </w:rPr>
        <w:t>Gunungkidul</w:t>
      </w:r>
      <w:proofErr w:type="spellEnd"/>
      <w:r>
        <w:rPr>
          <w:rFonts w:ascii="Book Antiqua" w:hAnsi="Book Antiqua"/>
          <w:szCs w:val="22"/>
          <w:lang w:val="en-GB"/>
        </w:rPr>
        <w:t xml:space="preserve"> Regency, Yogyakarta Special Region (DIY), Indonesia. During the COVID-19 pandemic, </w:t>
      </w:r>
      <w:proofErr w:type="spellStart"/>
      <w:r>
        <w:rPr>
          <w:rFonts w:ascii="Book Antiqua" w:hAnsi="Book Antiqua"/>
          <w:szCs w:val="22"/>
          <w:lang w:val="en-GB"/>
        </w:rPr>
        <w:t>Gunungkidul</w:t>
      </w:r>
      <w:proofErr w:type="spellEnd"/>
      <w:r>
        <w:rPr>
          <w:rFonts w:ascii="Book Antiqua" w:hAnsi="Book Antiqua"/>
          <w:szCs w:val="22"/>
          <w:lang w:val="en-GB"/>
        </w:rPr>
        <w:t xml:space="preserve"> was one of the areas that did not escape the devastation. According to statistics released by the </w:t>
      </w:r>
      <w:proofErr w:type="spellStart"/>
      <w:r>
        <w:rPr>
          <w:rFonts w:ascii="Book Antiqua" w:hAnsi="Book Antiqua"/>
          <w:szCs w:val="22"/>
          <w:lang w:val="en-GB"/>
        </w:rPr>
        <w:t>Gunungkidul</w:t>
      </w:r>
      <w:proofErr w:type="spellEnd"/>
      <w:r>
        <w:rPr>
          <w:rFonts w:ascii="Book Antiqua" w:hAnsi="Book Antiqua"/>
          <w:szCs w:val="22"/>
          <w:lang w:val="en-GB"/>
        </w:rPr>
        <w:t xml:space="preserve"> Regency Tourism Office, there were 7,005 workers who lost their jobs, three of whom were laid off, and 7,002 other workers who were forced to be laid off or did not receive pay. The table below details the workers in the tourism sector in </w:t>
      </w:r>
      <w:proofErr w:type="spellStart"/>
      <w:r>
        <w:rPr>
          <w:rFonts w:ascii="Book Antiqua" w:hAnsi="Book Antiqua"/>
          <w:szCs w:val="22"/>
          <w:lang w:val="en-GB"/>
        </w:rPr>
        <w:t>Gunungkidul</w:t>
      </w:r>
      <w:proofErr w:type="spellEnd"/>
      <w:r>
        <w:rPr>
          <w:rFonts w:ascii="Book Antiqua" w:hAnsi="Book Antiqua"/>
          <w:szCs w:val="22"/>
          <w:lang w:val="en-GB"/>
        </w:rPr>
        <w:t xml:space="preserve"> Regency who have been affected by the COVID-19 pandemic.</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 The depraved condition in the tourism industry is thought to be even worse for women, including those in </w:t>
      </w:r>
      <w:proofErr w:type="spellStart"/>
      <w:r>
        <w:rPr>
          <w:rFonts w:ascii="Book Antiqua" w:hAnsi="Book Antiqua"/>
          <w:szCs w:val="22"/>
          <w:lang w:val="en-GB"/>
        </w:rPr>
        <w:t>Gunungkidul</w:t>
      </w:r>
      <w:proofErr w:type="spellEnd"/>
      <w:r>
        <w:rPr>
          <w:rFonts w:ascii="Book Antiqua" w:hAnsi="Book Antiqua"/>
          <w:szCs w:val="22"/>
          <w:lang w:val="en-GB"/>
        </w:rPr>
        <w:t>. The reasons in general are, first and foremost, the culture of the majority of Indonesians, which is still patriarchal, so there is an understanding that certain jobs in the tourism sector require male employees specifically (</w:t>
      </w:r>
      <w:proofErr w:type="spellStart"/>
      <w:r>
        <w:rPr>
          <w:rFonts w:ascii="Book Antiqua" w:hAnsi="Book Antiqua"/>
          <w:szCs w:val="22"/>
          <w:lang w:val="en-GB"/>
        </w:rPr>
        <w:t>Tajeddini</w:t>
      </w:r>
      <w:proofErr w:type="spellEnd"/>
      <w:r>
        <w:rPr>
          <w:rFonts w:ascii="Book Antiqua" w:hAnsi="Book Antiqua"/>
          <w:szCs w:val="22"/>
          <w:lang w:val="en-GB"/>
        </w:rPr>
        <w:t xml:space="preserve"> et al., 2017; </w:t>
      </w:r>
      <w:proofErr w:type="spellStart"/>
      <w:r>
        <w:rPr>
          <w:rFonts w:ascii="Book Antiqua" w:hAnsi="Book Antiqua"/>
          <w:szCs w:val="22"/>
          <w:lang w:val="en-GB"/>
        </w:rPr>
        <w:t>Cukier</w:t>
      </w:r>
      <w:proofErr w:type="spellEnd"/>
      <w:r>
        <w:rPr>
          <w:rFonts w:ascii="Book Antiqua" w:hAnsi="Book Antiqua"/>
          <w:szCs w:val="22"/>
          <w:lang w:val="en-GB"/>
        </w:rPr>
        <w:t xml:space="preserve"> et al., 1996; Wilkinson &amp; </w:t>
      </w:r>
      <w:proofErr w:type="spellStart"/>
      <w:r>
        <w:rPr>
          <w:rFonts w:ascii="Book Antiqua" w:hAnsi="Book Antiqua"/>
          <w:szCs w:val="22"/>
          <w:lang w:val="en-GB"/>
        </w:rPr>
        <w:t>Pratiwi</w:t>
      </w:r>
      <w:proofErr w:type="spellEnd"/>
      <w:r>
        <w:rPr>
          <w:rFonts w:ascii="Book Antiqua" w:hAnsi="Book Antiqua"/>
          <w:szCs w:val="22"/>
          <w:lang w:val="en-GB"/>
        </w:rPr>
        <w:t xml:space="preserve">, 1995). For example, in the context of </w:t>
      </w:r>
      <w:r>
        <w:rPr>
          <w:rFonts w:ascii="Book Antiqua" w:hAnsi="Book Antiqua"/>
          <w:szCs w:val="22"/>
          <w:lang w:val="en-GB"/>
        </w:rPr>
        <w:lastRenderedPageBreak/>
        <w:t xml:space="preserve">providing transportation services as one of the pillars of the tourism industry, men are almost always involved or recruited (Wilkinson &amp; </w:t>
      </w:r>
      <w:proofErr w:type="spellStart"/>
      <w:r>
        <w:rPr>
          <w:rFonts w:ascii="Book Antiqua" w:hAnsi="Book Antiqua"/>
          <w:szCs w:val="22"/>
          <w:lang w:val="en-GB"/>
        </w:rPr>
        <w:t>Pratiwi</w:t>
      </w:r>
      <w:proofErr w:type="spellEnd"/>
      <w:r>
        <w:rPr>
          <w:rFonts w:ascii="Book Antiqua" w:hAnsi="Book Antiqua"/>
          <w:szCs w:val="22"/>
          <w:lang w:val="en-GB"/>
        </w:rPr>
        <w:t>, 1995). Second, especially for married women, it is widely assumed that staying at home and caring for children is a form of moral obligation compliance (</w:t>
      </w:r>
      <w:proofErr w:type="spellStart"/>
      <w:r>
        <w:rPr>
          <w:rFonts w:ascii="Book Antiqua" w:hAnsi="Book Antiqua"/>
          <w:szCs w:val="22"/>
          <w:lang w:val="en-GB"/>
        </w:rPr>
        <w:t>Cukier</w:t>
      </w:r>
      <w:proofErr w:type="spellEnd"/>
      <w:r>
        <w:rPr>
          <w:rFonts w:ascii="Book Antiqua" w:hAnsi="Book Antiqua"/>
          <w:szCs w:val="22"/>
          <w:lang w:val="en-GB"/>
        </w:rPr>
        <w:t xml:space="preserve"> et al., 1996). As a result, married women must generally be willing to be excluded from the formal sector of tourism-related work and remain in the informal sector, where the range of businesses being run does not require special skills or education; requires little capital investment; can be done as a secondary job in addition to routine activities; and does not require government permits or strictly adhere to government regulations (</w:t>
      </w:r>
      <w:proofErr w:type="spellStart"/>
      <w:r>
        <w:rPr>
          <w:rFonts w:ascii="Book Antiqua" w:hAnsi="Book Antiqua"/>
          <w:szCs w:val="22"/>
          <w:lang w:val="en-GB"/>
        </w:rPr>
        <w:t>Cukier</w:t>
      </w:r>
      <w:proofErr w:type="spellEnd"/>
      <w:r>
        <w:rPr>
          <w:rFonts w:ascii="Book Antiqua" w:hAnsi="Book Antiqua"/>
          <w:szCs w:val="22"/>
          <w:lang w:val="en-GB"/>
        </w:rPr>
        <w:t xml:space="preserve"> et al., 1996; Wilkinson &amp; </w:t>
      </w:r>
      <w:proofErr w:type="spellStart"/>
      <w:r>
        <w:rPr>
          <w:rFonts w:ascii="Book Antiqua" w:hAnsi="Book Antiqua"/>
          <w:szCs w:val="22"/>
          <w:lang w:val="en-GB"/>
        </w:rPr>
        <w:t>Pratiwi</w:t>
      </w:r>
      <w:proofErr w:type="spellEnd"/>
      <w:r>
        <w:rPr>
          <w:rFonts w:ascii="Book Antiqua" w:hAnsi="Book Antiqua"/>
          <w:szCs w:val="22"/>
          <w:lang w:val="en-GB"/>
        </w:rPr>
        <w:t xml:space="preserve">, 1995; </w:t>
      </w:r>
      <w:proofErr w:type="spellStart"/>
      <w:r>
        <w:rPr>
          <w:rFonts w:ascii="Book Antiqua" w:hAnsi="Book Antiqua"/>
          <w:szCs w:val="22"/>
          <w:lang w:val="en-GB"/>
        </w:rPr>
        <w:t>Cukier</w:t>
      </w:r>
      <w:proofErr w:type="spellEnd"/>
      <w:r>
        <w:rPr>
          <w:rFonts w:ascii="Book Antiqua" w:hAnsi="Book Antiqua"/>
          <w:szCs w:val="22"/>
          <w:lang w:val="en-GB"/>
        </w:rPr>
        <w:t xml:space="preserve"> &amp; Wall, 1994). In more recent studies, it has been discovered that the position of men and women in tourism is unequal. For women working in tourism, the concept of empowerment remains a challenge (Cole, 2018).</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The precarious status of women in the tourism industry as a result of gender discrimination, combined with the tourism sector’s crisis situation during the COVID-19 pandemic, constituted the beginning point for this study. The goal is to learn how women, particularly those involved in and working in the tourism industry, carry out their activities during the COVID-19 pandemic. Furthermore, in order to broaden the discussion, this study intends to investigate how women working in tourism assess, adapt, and innovate, or what is commonly referred to as resilience (Khan et al., 2020; Norris et al., 2008; </w:t>
      </w:r>
      <w:proofErr w:type="spellStart"/>
      <w:r>
        <w:rPr>
          <w:rFonts w:ascii="Book Antiqua" w:hAnsi="Book Antiqua"/>
          <w:szCs w:val="22"/>
          <w:lang w:val="en-GB"/>
        </w:rPr>
        <w:t>Ntounis</w:t>
      </w:r>
      <w:proofErr w:type="spellEnd"/>
      <w:r>
        <w:rPr>
          <w:rFonts w:ascii="Book Antiqua" w:hAnsi="Book Antiqua"/>
          <w:szCs w:val="22"/>
          <w:lang w:val="en-GB"/>
        </w:rPr>
        <w:t xml:space="preserve"> et al., 2021), to the disruption caused by the pandemic. In terms of preliminary literature searches, there are few studies, particularly in Indonesia, that discuss women workers in tourism in crisis situations and how they develop resilience.</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Figure 1. Number of workers in the tourism sector affected by COVID-19 in </w:t>
      </w:r>
      <w:proofErr w:type="spellStart"/>
      <w:r>
        <w:rPr>
          <w:rFonts w:ascii="Book Antiqua" w:hAnsi="Book Antiqua"/>
          <w:szCs w:val="22"/>
          <w:lang w:val="en-GB"/>
        </w:rPr>
        <w:t>Gunungkidul</w:t>
      </w:r>
      <w:proofErr w:type="spellEnd"/>
    </w:p>
    <w:p w:rsidR="000F4686" w:rsidRDefault="00000000">
      <w:pPr>
        <w:spacing w:before="120" w:line="240" w:lineRule="auto"/>
        <w:rPr>
          <w:rFonts w:ascii="Book Antiqua" w:hAnsi="Book Antiqua"/>
          <w:szCs w:val="22"/>
          <w:lang w:val="en-GB"/>
        </w:rPr>
      </w:pPr>
      <w:r>
        <w:rPr>
          <w:rFonts w:ascii="Book Antiqua" w:hAnsi="Book Antiqua"/>
          <w:noProof/>
          <w:szCs w:val="22"/>
          <w:lang w:val="en-GB"/>
        </w:rPr>
        <w:drawing>
          <wp:inline distT="0" distB="0" distL="0" distR="0">
            <wp:extent cx="2967990" cy="1704340"/>
            <wp:effectExtent l="0" t="0" r="0" b="0"/>
            <wp:docPr id="1057972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72609" name="Picture 1"/>
                    <pic:cNvPicPr>
                      <a:picLocks noChangeAspect="1"/>
                    </pic:cNvPicPr>
                  </pic:nvPicPr>
                  <pic:blipFill>
                    <a:blip r:embed="rId13"/>
                    <a:stretch>
                      <a:fillRect/>
                    </a:stretch>
                  </pic:blipFill>
                  <pic:spPr>
                    <a:xfrm>
                      <a:off x="0" y="0"/>
                      <a:ext cx="2967990" cy="1704340"/>
                    </a:xfrm>
                    <a:prstGeom prst="rect">
                      <a:avLst/>
                    </a:prstGeom>
                  </pic:spPr>
                </pic:pic>
              </a:graphicData>
            </a:graphic>
          </wp:inline>
        </w:drawing>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(Source: </w:t>
      </w:r>
      <w:proofErr w:type="spellStart"/>
      <w:r>
        <w:rPr>
          <w:rFonts w:ascii="Book Antiqua" w:hAnsi="Book Antiqua"/>
          <w:szCs w:val="22"/>
          <w:lang w:val="en-GB"/>
        </w:rPr>
        <w:t>Gunungkidul</w:t>
      </w:r>
      <w:proofErr w:type="spellEnd"/>
      <w:r>
        <w:rPr>
          <w:rFonts w:ascii="Book Antiqua" w:hAnsi="Book Antiqua"/>
          <w:szCs w:val="22"/>
          <w:lang w:val="en-GB"/>
        </w:rPr>
        <w:t xml:space="preserve"> regency tourism office, 2020)</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The study was carried out in the </w:t>
      </w:r>
      <w:proofErr w:type="spellStart"/>
      <w:r>
        <w:rPr>
          <w:rFonts w:ascii="Book Antiqua" w:hAnsi="Book Antiqua"/>
          <w:szCs w:val="22"/>
          <w:lang w:val="en-GB"/>
        </w:rPr>
        <w:t>Nglanggeran</w:t>
      </w:r>
      <w:proofErr w:type="spellEnd"/>
      <w:r>
        <w:rPr>
          <w:rFonts w:ascii="Book Antiqua" w:hAnsi="Book Antiqua"/>
          <w:szCs w:val="22"/>
          <w:lang w:val="en-GB"/>
        </w:rPr>
        <w:t xml:space="preserve"> Tourism Village, which is located in the </w:t>
      </w:r>
      <w:proofErr w:type="spellStart"/>
      <w:r>
        <w:rPr>
          <w:rFonts w:ascii="Book Antiqua" w:hAnsi="Book Antiqua"/>
          <w:szCs w:val="22"/>
          <w:lang w:val="en-GB"/>
        </w:rPr>
        <w:t>Gunungkidul</w:t>
      </w:r>
      <w:proofErr w:type="spellEnd"/>
      <w:r>
        <w:rPr>
          <w:rFonts w:ascii="Book Antiqua" w:hAnsi="Book Antiqua"/>
          <w:szCs w:val="22"/>
          <w:lang w:val="en-GB"/>
        </w:rPr>
        <w:t xml:space="preserve"> region (refer to Figure 2). As evidenced by the number of affected employees in Figure 1, the tourism village is one of the categories of tourist destinations in </w:t>
      </w:r>
      <w:proofErr w:type="spellStart"/>
      <w:r>
        <w:rPr>
          <w:rFonts w:ascii="Book Antiqua" w:hAnsi="Book Antiqua"/>
          <w:szCs w:val="22"/>
          <w:lang w:val="en-GB"/>
        </w:rPr>
        <w:t>Gunungkidul</w:t>
      </w:r>
      <w:proofErr w:type="spellEnd"/>
      <w:r>
        <w:rPr>
          <w:rFonts w:ascii="Book Antiqua" w:hAnsi="Book Antiqua"/>
          <w:szCs w:val="22"/>
          <w:lang w:val="en-GB"/>
        </w:rPr>
        <w:t xml:space="preserve"> Regency that was most severely impacted by COVID-19. For these reasons, the village was selected as the research site. Furthermore, </w:t>
      </w:r>
      <w:proofErr w:type="spellStart"/>
      <w:r>
        <w:rPr>
          <w:rFonts w:ascii="Book Antiqua" w:hAnsi="Book Antiqua"/>
          <w:szCs w:val="22"/>
          <w:lang w:val="en-GB"/>
        </w:rPr>
        <w:t>Nglanggeran</w:t>
      </w:r>
      <w:proofErr w:type="spellEnd"/>
      <w:r>
        <w:rPr>
          <w:rFonts w:ascii="Book Antiqua" w:hAnsi="Book Antiqua"/>
          <w:szCs w:val="22"/>
          <w:lang w:val="en-GB"/>
        </w:rPr>
        <w:t xml:space="preserve"> was officially designated as a pilot tourism village in the district, as per the </w:t>
      </w:r>
      <w:proofErr w:type="spellStart"/>
      <w:r>
        <w:rPr>
          <w:rFonts w:ascii="Book Antiqua" w:hAnsi="Book Antiqua"/>
          <w:szCs w:val="22"/>
          <w:lang w:val="en-GB"/>
        </w:rPr>
        <w:t>Gunungkidul</w:t>
      </w:r>
      <w:proofErr w:type="spellEnd"/>
      <w:r>
        <w:rPr>
          <w:rFonts w:ascii="Book Antiqua" w:hAnsi="Book Antiqua"/>
          <w:szCs w:val="22"/>
          <w:lang w:val="en-GB"/>
        </w:rPr>
        <w:t xml:space="preserve"> Tourism Office. In June 2020, the village commenced a limited operational trial scheme to welcome tourists for the first time amidst the COVID-19 pandemic. Due to the implementation of a partial lockdown, </w:t>
      </w:r>
      <w:proofErr w:type="spellStart"/>
      <w:r>
        <w:rPr>
          <w:rFonts w:ascii="Book Antiqua" w:hAnsi="Book Antiqua"/>
          <w:szCs w:val="22"/>
          <w:lang w:val="en-GB"/>
        </w:rPr>
        <w:t>Nglanggeran</w:t>
      </w:r>
      <w:proofErr w:type="spellEnd"/>
      <w:r>
        <w:rPr>
          <w:rFonts w:ascii="Book Antiqua" w:hAnsi="Book Antiqua"/>
          <w:szCs w:val="22"/>
          <w:lang w:val="en-GB"/>
        </w:rPr>
        <w:t xml:space="preserve"> remained inoperable until July 2021, at which point this </w:t>
      </w:r>
      <w:r>
        <w:rPr>
          <w:rFonts w:ascii="Book Antiqua" w:hAnsi="Book Antiqua"/>
          <w:szCs w:val="22"/>
          <w:lang w:val="en-GB"/>
        </w:rPr>
        <w:t>study was undertaken (PPKM). Last but not least, the women-operated chocolate production unit is the only operational unit in the tourism village that has persisted in operation despite the pandemic.</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The COVID-19 pandemic has rendered the tourism sector in </w:t>
      </w:r>
      <w:proofErr w:type="spellStart"/>
      <w:r>
        <w:rPr>
          <w:rFonts w:ascii="Book Antiqua" w:hAnsi="Book Antiqua"/>
          <w:szCs w:val="22"/>
          <w:lang w:val="en-GB"/>
        </w:rPr>
        <w:t>Nglanggeran</w:t>
      </w:r>
      <w:proofErr w:type="spellEnd"/>
      <w:r>
        <w:rPr>
          <w:rFonts w:ascii="Book Antiqua" w:hAnsi="Book Antiqua"/>
          <w:szCs w:val="22"/>
          <w:lang w:val="en-GB"/>
        </w:rPr>
        <w:t xml:space="preserve"> completely paralysed. The tourist village, which was established in 1999 and became the best tourist village in ASEAN that implemented Community-Based Tourism in 2017 (</w:t>
      </w:r>
      <w:proofErr w:type="spellStart"/>
      <w:r>
        <w:rPr>
          <w:rFonts w:ascii="Book Antiqua" w:hAnsi="Book Antiqua"/>
          <w:szCs w:val="22"/>
          <w:lang w:val="en-GB"/>
        </w:rPr>
        <w:t>Ristiawan</w:t>
      </w:r>
      <w:proofErr w:type="spellEnd"/>
      <w:r>
        <w:rPr>
          <w:rFonts w:ascii="Book Antiqua" w:hAnsi="Book Antiqua"/>
          <w:szCs w:val="22"/>
          <w:lang w:val="en-GB"/>
        </w:rPr>
        <w:t xml:space="preserve"> &amp; </w:t>
      </w:r>
      <w:proofErr w:type="spellStart"/>
      <w:r>
        <w:rPr>
          <w:rFonts w:ascii="Book Antiqua" w:hAnsi="Book Antiqua"/>
          <w:szCs w:val="22"/>
          <w:lang w:val="en-GB"/>
        </w:rPr>
        <w:t>Tiberghien</w:t>
      </w:r>
      <w:proofErr w:type="spellEnd"/>
      <w:r>
        <w:rPr>
          <w:rFonts w:ascii="Book Antiqua" w:hAnsi="Book Antiqua"/>
          <w:szCs w:val="22"/>
          <w:lang w:val="en-GB"/>
        </w:rPr>
        <w:t xml:space="preserve">, 2021), immediately saw a significant decrease in tourist visits. This is evidenced by the fact that only 61,650 tourists visited in 2020. In the previous year, or before the pandemic, the number of visitors reached 110,547. The main factors are the existence of visitation restrictions and the closure of tourist villages on several occasions to comply with PPKM policies. Such circumstances have resulted in the cessation of almost all tourism business fields in the tourist village. As a result, this condition has an impact on </w:t>
      </w:r>
      <w:proofErr w:type="spellStart"/>
      <w:r>
        <w:rPr>
          <w:rFonts w:ascii="Book Antiqua" w:hAnsi="Book Antiqua"/>
          <w:szCs w:val="22"/>
          <w:lang w:val="en-GB"/>
        </w:rPr>
        <w:t>Nglanggeran’s</w:t>
      </w:r>
      <w:proofErr w:type="spellEnd"/>
      <w:r>
        <w:rPr>
          <w:rFonts w:ascii="Book Antiqua" w:hAnsi="Book Antiqua"/>
          <w:szCs w:val="22"/>
          <w:lang w:val="en-GB"/>
        </w:rPr>
        <w:t xml:space="preserve"> revenue from entrance tickets/retributions and tour package sales, which only total 1,119,133,000 IDR. The figure is three times lower than in 2019 when it was 3,254,225,400 IDR. However, </w:t>
      </w:r>
      <w:proofErr w:type="spellStart"/>
      <w:r>
        <w:rPr>
          <w:rFonts w:ascii="Book Antiqua" w:hAnsi="Book Antiqua"/>
          <w:szCs w:val="22"/>
          <w:lang w:val="en-GB"/>
        </w:rPr>
        <w:t>Nglanggeran</w:t>
      </w:r>
      <w:proofErr w:type="spellEnd"/>
      <w:r>
        <w:rPr>
          <w:rFonts w:ascii="Book Antiqua" w:hAnsi="Book Antiqua"/>
          <w:szCs w:val="22"/>
          <w:lang w:val="en-GB"/>
        </w:rPr>
        <w:t xml:space="preserve"> still has a business unit,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which can contribute even when tourism activities are suspended.</w:t>
      </w:r>
    </w:p>
    <w:p w:rsidR="000F4686" w:rsidRDefault="000F4686">
      <w:pPr>
        <w:spacing w:before="120" w:line="240" w:lineRule="auto"/>
        <w:rPr>
          <w:rFonts w:ascii="Book Antiqua" w:hAnsi="Book Antiqua"/>
          <w:b/>
          <w:bCs/>
          <w:szCs w:val="22"/>
          <w:lang w:val="en-GB"/>
        </w:rPr>
      </w:pPr>
    </w:p>
    <w:p w:rsidR="000F4686" w:rsidRDefault="00000000">
      <w:pPr>
        <w:spacing w:before="120" w:line="240" w:lineRule="auto"/>
        <w:rPr>
          <w:rFonts w:ascii="Book Antiqua" w:hAnsi="Book Antiqua"/>
          <w:b/>
          <w:bCs/>
          <w:szCs w:val="22"/>
          <w:lang w:val="en-GB"/>
        </w:rPr>
      </w:pPr>
      <w:r>
        <w:rPr>
          <w:rFonts w:ascii="Book Antiqua" w:hAnsi="Book Antiqua"/>
          <w:b/>
          <w:bCs/>
          <w:szCs w:val="22"/>
          <w:lang w:val="en-GB"/>
        </w:rPr>
        <w:t>The context of study</w:t>
      </w:r>
    </w:p>
    <w:p w:rsidR="000F4686" w:rsidRDefault="00000000">
      <w:pPr>
        <w:spacing w:before="120" w:line="240" w:lineRule="auto"/>
        <w:rPr>
          <w:rFonts w:ascii="Book Antiqua" w:hAnsi="Book Antiqua"/>
          <w:szCs w:val="22"/>
          <w:lang w:val="en-GB"/>
        </w:rPr>
      </w:pPr>
      <w:proofErr w:type="spellStart"/>
      <w:r>
        <w:rPr>
          <w:rFonts w:ascii="Book Antiqua" w:hAnsi="Book Antiqua"/>
          <w:szCs w:val="22"/>
          <w:lang w:val="en-GB"/>
        </w:rPr>
        <w:t>Nglanggeran</w:t>
      </w:r>
      <w:proofErr w:type="spellEnd"/>
      <w:r>
        <w:rPr>
          <w:rFonts w:ascii="Book Antiqua" w:hAnsi="Book Antiqua"/>
          <w:szCs w:val="22"/>
          <w:lang w:val="en-GB"/>
        </w:rPr>
        <w:t xml:space="preserve"> Village is situated in the </w:t>
      </w:r>
      <w:proofErr w:type="spellStart"/>
      <w:r>
        <w:rPr>
          <w:rFonts w:ascii="Book Antiqua" w:hAnsi="Book Antiqua"/>
          <w:szCs w:val="22"/>
          <w:lang w:val="en-GB"/>
        </w:rPr>
        <w:t>Gunungkidul</w:t>
      </w:r>
      <w:proofErr w:type="spellEnd"/>
      <w:r>
        <w:rPr>
          <w:rFonts w:ascii="Book Antiqua" w:hAnsi="Book Antiqua"/>
          <w:szCs w:val="22"/>
          <w:lang w:val="en-GB"/>
        </w:rPr>
        <w:t xml:space="preserve"> district of the Yogyakarta Special Province of Indonesia. During the period spanning from the 1950s to the 1960s, </w:t>
      </w:r>
      <w:proofErr w:type="spellStart"/>
      <w:r>
        <w:rPr>
          <w:rFonts w:ascii="Book Antiqua" w:hAnsi="Book Antiqua"/>
          <w:szCs w:val="22"/>
          <w:lang w:val="en-GB"/>
        </w:rPr>
        <w:t>Gunungkidul</w:t>
      </w:r>
      <w:proofErr w:type="spellEnd"/>
      <w:r>
        <w:rPr>
          <w:rFonts w:ascii="Book Antiqua" w:hAnsi="Book Antiqua"/>
          <w:szCs w:val="22"/>
          <w:lang w:val="en-GB"/>
        </w:rPr>
        <w:t xml:space="preserve"> was considered an impoverished region distinguished by a dearth of human and natural resources (</w:t>
      </w:r>
      <w:proofErr w:type="spellStart"/>
      <w:r>
        <w:rPr>
          <w:rFonts w:ascii="Book Antiqua" w:hAnsi="Book Antiqua"/>
          <w:szCs w:val="22"/>
          <w:lang w:val="en-GB"/>
        </w:rPr>
        <w:t>Fachrurozi</w:t>
      </w:r>
      <w:proofErr w:type="spellEnd"/>
      <w:r>
        <w:rPr>
          <w:rFonts w:ascii="Book Antiqua" w:hAnsi="Book Antiqua"/>
          <w:szCs w:val="22"/>
          <w:lang w:val="en-GB"/>
        </w:rPr>
        <w:t>, 2020). Historically, this area was infamous for its severe poverty, which led to elevated suicide rates and repeated droughts (</w:t>
      </w:r>
      <w:proofErr w:type="spellStart"/>
      <w:r>
        <w:rPr>
          <w:rFonts w:ascii="Book Antiqua" w:hAnsi="Book Antiqua"/>
          <w:szCs w:val="22"/>
          <w:lang w:val="en-GB"/>
        </w:rPr>
        <w:t>Darmaningtyas</w:t>
      </w:r>
      <w:proofErr w:type="spellEnd"/>
      <w:r>
        <w:rPr>
          <w:rFonts w:ascii="Book Antiqua" w:hAnsi="Book Antiqua"/>
          <w:szCs w:val="22"/>
          <w:lang w:val="en-GB"/>
        </w:rPr>
        <w:t xml:space="preserve">, 2002). </w:t>
      </w:r>
      <w:proofErr w:type="spellStart"/>
      <w:r>
        <w:rPr>
          <w:rFonts w:ascii="Book Antiqua" w:hAnsi="Book Antiqua"/>
          <w:szCs w:val="22"/>
          <w:lang w:val="en-GB"/>
        </w:rPr>
        <w:t>Nglanggeran</w:t>
      </w:r>
      <w:proofErr w:type="spellEnd"/>
      <w:r>
        <w:rPr>
          <w:rFonts w:ascii="Book Antiqua" w:hAnsi="Book Antiqua"/>
          <w:szCs w:val="22"/>
          <w:lang w:val="en-GB"/>
        </w:rPr>
        <w:t xml:space="preserve"> Village is notorious for its substandard natural resources, which have contributed to its status as a labour exporter of particular emphasis on female migrant workers (Kirana et al., 2017). The objective of the New Order administration (1966-1998) was to enhance the region's economic resilience through the implementation of the green revolution, an initiative that entailed the advancement of plantation technology (</w:t>
      </w:r>
      <w:proofErr w:type="spellStart"/>
      <w:r>
        <w:rPr>
          <w:rFonts w:ascii="Book Antiqua" w:hAnsi="Book Antiqua"/>
          <w:szCs w:val="22"/>
          <w:lang w:val="en-GB"/>
        </w:rPr>
        <w:t>Fachrurozi</w:t>
      </w:r>
      <w:proofErr w:type="spellEnd"/>
      <w:r>
        <w:rPr>
          <w:rFonts w:ascii="Book Antiqua" w:hAnsi="Book Antiqua"/>
          <w:szCs w:val="22"/>
          <w:lang w:val="en-GB"/>
        </w:rPr>
        <w:t xml:space="preserve">, 2020). Since the 1980s, when the New Order administration frequently distributed free seedlings to the local populace in an effort to improve the local economy through agricultural diversification, cacao growing has been practiced in </w:t>
      </w:r>
      <w:proofErr w:type="spellStart"/>
      <w:r>
        <w:rPr>
          <w:rFonts w:ascii="Book Antiqua" w:hAnsi="Book Antiqua"/>
          <w:szCs w:val="22"/>
          <w:lang w:val="en-GB"/>
        </w:rPr>
        <w:t>Gunugkidul</w:t>
      </w:r>
      <w:proofErr w:type="spellEnd"/>
      <w:r>
        <w:rPr>
          <w:rFonts w:ascii="Book Antiqua" w:hAnsi="Book Antiqua"/>
          <w:szCs w:val="22"/>
          <w:lang w:val="en-GB"/>
        </w:rPr>
        <w:t xml:space="preserve">. At present, a cocoa garden is maintained in the front yard of virtually every residence in </w:t>
      </w:r>
      <w:proofErr w:type="spellStart"/>
      <w:r>
        <w:rPr>
          <w:rFonts w:ascii="Book Antiqua" w:hAnsi="Book Antiqua"/>
          <w:szCs w:val="22"/>
          <w:lang w:val="en-GB"/>
        </w:rPr>
        <w:t>Nglanggeran</w:t>
      </w:r>
      <w:proofErr w:type="spellEnd"/>
      <w:r>
        <w:rPr>
          <w:rFonts w:ascii="Book Antiqua" w:hAnsi="Book Antiqua"/>
          <w:szCs w:val="22"/>
          <w:lang w:val="en-GB"/>
        </w:rPr>
        <w:t xml:space="preserve"> Village. The cocoa plant functioned as an additional medium of exchange employed by the peasants to purchase essential items on a regular basis. They would present the item in pristine shape and deliver it to the intermediary for an exceptionally low price. They had not been familiar with cacao seed fermentation before.</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In the 1990s, young people in the village of </w:t>
      </w:r>
      <w:proofErr w:type="spellStart"/>
      <w:r>
        <w:rPr>
          <w:rFonts w:ascii="Book Antiqua" w:hAnsi="Book Antiqua"/>
          <w:szCs w:val="22"/>
          <w:lang w:val="en-GB"/>
        </w:rPr>
        <w:t>Nglanggeran</w:t>
      </w:r>
      <w:proofErr w:type="spellEnd"/>
      <w:r>
        <w:rPr>
          <w:rFonts w:ascii="Book Antiqua" w:hAnsi="Book Antiqua"/>
          <w:szCs w:val="22"/>
          <w:lang w:val="en-GB"/>
        </w:rPr>
        <w:t xml:space="preserve"> began developing a tourism industry, albeit at a slower rate than expected. In 2006, this region and all of the surrounding provinces experienced a significant earthquake. This quake’s impact was significant enough to compromise the resilience of the village of </w:t>
      </w:r>
      <w:proofErr w:type="spellStart"/>
      <w:r>
        <w:rPr>
          <w:rFonts w:ascii="Book Antiqua" w:hAnsi="Book Antiqua"/>
          <w:szCs w:val="22"/>
          <w:lang w:val="en-GB"/>
        </w:rPr>
        <w:t>Nglanggeran</w:t>
      </w:r>
      <w:proofErr w:type="spellEnd"/>
      <w:r>
        <w:rPr>
          <w:rFonts w:ascii="Book Antiqua" w:hAnsi="Book Antiqua"/>
          <w:szCs w:val="22"/>
          <w:lang w:val="en-GB"/>
        </w:rPr>
        <w:t xml:space="preserve">. The second phase of tourism development in this village began in 2007, spearheaded by a Yogyakarta-educated village youth. Beginning at that time, tourism development in this village grew rapidly. This village has won local, </w:t>
      </w:r>
      <w:r>
        <w:rPr>
          <w:rFonts w:ascii="Book Antiqua" w:hAnsi="Book Antiqua"/>
          <w:szCs w:val="22"/>
          <w:lang w:val="en-GB"/>
        </w:rPr>
        <w:lastRenderedPageBreak/>
        <w:t>national, and even international tourism competitions multiple times.</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Figure 2. Map of </w:t>
      </w:r>
      <w:proofErr w:type="spellStart"/>
      <w:r>
        <w:rPr>
          <w:rFonts w:ascii="Book Antiqua" w:hAnsi="Book Antiqua"/>
          <w:szCs w:val="22"/>
          <w:lang w:val="en-GB"/>
        </w:rPr>
        <w:t>Nglanggeran</w:t>
      </w:r>
      <w:proofErr w:type="spellEnd"/>
      <w:r>
        <w:rPr>
          <w:rFonts w:ascii="Book Antiqua" w:hAnsi="Book Antiqua"/>
          <w:szCs w:val="22"/>
          <w:lang w:val="en-GB"/>
        </w:rPr>
        <w:t xml:space="preserve"> Tourism Village location </w:t>
      </w:r>
    </w:p>
    <w:p w:rsidR="000F4686" w:rsidRDefault="00000000">
      <w:pPr>
        <w:spacing w:before="120" w:line="240" w:lineRule="auto"/>
        <w:rPr>
          <w:rFonts w:ascii="Book Antiqua" w:hAnsi="Book Antiqua"/>
          <w:szCs w:val="22"/>
          <w:lang w:val="en-GB"/>
        </w:rPr>
      </w:pPr>
      <w:r>
        <w:rPr>
          <w:rFonts w:ascii="Book Antiqua" w:hAnsi="Book Antiqua"/>
          <w:noProof/>
          <w:szCs w:val="22"/>
          <w:lang w:val="en-GB"/>
        </w:rPr>
        <w:drawing>
          <wp:inline distT="0" distB="0" distL="0" distR="0">
            <wp:extent cx="2967990" cy="2228215"/>
            <wp:effectExtent l="0" t="0" r="0" b="0"/>
            <wp:docPr id="1709650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50743" name="Picture 1"/>
                    <pic:cNvPicPr>
                      <a:picLocks noChangeAspect="1"/>
                    </pic:cNvPicPr>
                  </pic:nvPicPr>
                  <pic:blipFill>
                    <a:blip r:embed="rId14"/>
                    <a:stretch>
                      <a:fillRect/>
                    </a:stretch>
                  </pic:blipFill>
                  <pic:spPr>
                    <a:xfrm>
                      <a:off x="0" y="0"/>
                      <a:ext cx="2967990" cy="2228215"/>
                    </a:xfrm>
                    <a:prstGeom prst="rect">
                      <a:avLst/>
                    </a:prstGeom>
                  </pic:spPr>
                </pic:pic>
              </a:graphicData>
            </a:graphic>
          </wp:inline>
        </w:drawing>
      </w:r>
    </w:p>
    <w:p w:rsidR="000F4686" w:rsidRDefault="00000000">
      <w:pPr>
        <w:spacing w:before="120" w:line="240" w:lineRule="auto"/>
        <w:rPr>
          <w:rFonts w:ascii="Book Antiqua" w:hAnsi="Book Antiqua"/>
          <w:szCs w:val="22"/>
          <w:lang w:val="en-GB"/>
        </w:rPr>
      </w:pPr>
      <w:r>
        <w:rPr>
          <w:rFonts w:ascii="Book Antiqua" w:hAnsi="Book Antiqua"/>
          <w:szCs w:val="22"/>
          <w:lang w:val="en-GB"/>
        </w:rPr>
        <w:t>(Source: Authors — Created using ArcMap 10.2.2, 2021)</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Along with the growth of tourism, cocoa is beginning to be viewed as an asset that can be marketed to tourists, both as a product and as a component of a sellable experience. Tourists can purchase cocoa education packages by obtaining explanations directly from farmers. In 2010, cocoa came to be taken more seriously as a regional essential. Female members of </w:t>
      </w:r>
      <w:proofErr w:type="spellStart"/>
      <w:r>
        <w:rPr>
          <w:rFonts w:ascii="Book Antiqua" w:hAnsi="Book Antiqua"/>
          <w:szCs w:val="22"/>
          <w:lang w:val="en-GB"/>
        </w:rPr>
        <w:t>Pokdarwis</w:t>
      </w:r>
      <w:proofErr w:type="spellEnd"/>
      <w:r>
        <w:rPr>
          <w:rFonts w:ascii="Book Antiqua" w:hAnsi="Book Antiqua"/>
          <w:szCs w:val="22"/>
          <w:lang w:val="en-GB"/>
        </w:rPr>
        <w:t xml:space="preserve"> were sent to receive training in cocoa processing, financed by Bank Indonesia’s Corporate Social Responsibility (CSR) Program. The superintendent of </w:t>
      </w:r>
      <w:proofErr w:type="spellStart"/>
      <w:r>
        <w:rPr>
          <w:rFonts w:ascii="Book Antiqua" w:hAnsi="Book Antiqua"/>
          <w:szCs w:val="22"/>
          <w:lang w:val="en-GB"/>
        </w:rPr>
        <w:t>Pokdarwis</w:t>
      </w:r>
      <w:proofErr w:type="spellEnd"/>
      <w:r>
        <w:rPr>
          <w:rFonts w:ascii="Book Antiqua" w:hAnsi="Book Antiqua"/>
          <w:szCs w:val="22"/>
          <w:lang w:val="en-GB"/>
        </w:rPr>
        <w:t xml:space="preserve"> then established a chocolate production unit called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(literally House of Chocolate).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then purchases at a premium the finest fermented cocoa beans from local farmers.</w:t>
      </w:r>
    </w:p>
    <w:p w:rsidR="000F4686" w:rsidRDefault="00000000">
      <w:pPr>
        <w:spacing w:before="120" w:line="240" w:lineRule="auto"/>
        <w:rPr>
          <w:rFonts w:ascii="Book Antiqua" w:hAnsi="Book Antiqua"/>
          <w:szCs w:val="22"/>
          <w:lang w:val="en-GB"/>
        </w:rPr>
      </w:pPr>
      <w:r>
        <w:rPr>
          <w:rFonts w:ascii="Book Antiqua" w:hAnsi="Book Antiqua"/>
          <w:szCs w:val="22"/>
          <w:lang w:val="en-GB"/>
        </w:rPr>
        <w:t>By means of the Family Empowerment and Welfare (PKK) group, a state-sanctioned women’s organization that was founded during the New Order regime, women employed and engaged in the tourism industry may attain greater social prominence and central roles. Thus far, the PKK’s involvement in the coordination of tourism-related endeavours has been limited to supplying tourists with food on a rotational basis and manufacturing cocoa-based dishes (</w:t>
      </w:r>
      <w:proofErr w:type="spellStart"/>
      <w:r>
        <w:rPr>
          <w:rFonts w:ascii="Book Antiqua" w:hAnsi="Book Antiqua"/>
          <w:szCs w:val="22"/>
          <w:lang w:val="en-GB"/>
        </w:rPr>
        <w:t>Sushartami</w:t>
      </w:r>
      <w:proofErr w:type="spellEnd"/>
      <w:r>
        <w:rPr>
          <w:rFonts w:ascii="Book Antiqua" w:hAnsi="Book Antiqua"/>
          <w:szCs w:val="22"/>
          <w:lang w:val="en-GB"/>
        </w:rPr>
        <w:t xml:space="preserve">, 2016). Nonetheless, the cocoa processing work unit remains operational, in contrast to other tourism activities in </w:t>
      </w:r>
      <w:proofErr w:type="spellStart"/>
      <w:r>
        <w:rPr>
          <w:rFonts w:ascii="Book Antiqua" w:hAnsi="Book Antiqua"/>
          <w:szCs w:val="22"/>
          <w:lang w:val="en-GB"/>
        </w:rPr>
        <w:t>Nglanggeran</w:t>
      </w:r>
      <w:proofErr w:type="spellEnd"/>
      <w:r>
        <w:rPr>
          <w:rFonts w:ascii="Book Antiqua" w:hAnsi="Book Antiqua"/>
          <w:szCs w:val="22"/>
          <w:lang w:val="en-GB"/>
        </w:rPr>
        <w:t xml:space="preserve"> that have been rendered nearly non-functional due to the COVID-19 pandemic. As evidenced by the implementation of emerging norms, the consolidation of trust, and the formation of stakeholder partnerships, </w:t>
      </w:r>
      <w:proofErr w:type="spellStart"/>
      <w:r>
        <w:rPr>
          <w:rFonts w:ascii="Book Antiqua" w:hAnsi="Book Antiqua"/>
          <w:szCs w:val="22"/>
          <w:lang w:val="en-GB"/>
        </w:rPr>
        <w:t>Nglanggeran</w:t>
      </w:r>
      <w:proofErr w:type="spellEnd"/>
      <w:r>
        <w:rPr>
          <w:rFonts w:ascii="Book Antiqua" w:hAnsi="Book Antiqua"/>
          <w:szCs w:val="22"/>
          <w:lang w:val="en-GB"/>
        </w:rPr>
        <w:t xml:space="preserve"> effectively utilized their social capital to endure the COVID-19 pandemic (</w:t>
      </w:r>
      <w:proofErr w:type="spellStart"/>
      <w:r>
        <w:rPr>
          <w:rFonts w:ascii="Book Antiqua" w:hAnsi="Book Antiqua"/>
          <w:szCs w:val="22"/>
          <w:lang w:val="en-GB"/>
        </w:rPr>
        <w:t>Persada</w:t>
      </w:r>
      <w:proofErr w:type="spellEnd"/>
      <w:r>
        <w:rPr>
          <w:rFonts w:ascii="Book Antiqua" w:hAnsi="Book Antiqua"/>
          <w:szCs w:val="22"/>
          <w:lang w:val="en-GB"/>
        </w:rPr>
        <w:t xml:space="preserve"> &amp; Aji, 2021). Throughout the course of the pandemic, the women who participated in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have continued to maintain employment. Examining the challenges faced by women employed in the tourism industry and their endeavours to strengthen resilience amidst the COVID-19 pandemic, with a specific focus on </w:t>
      </w:r>
      <w:proofErr w:type="spellStart"/>
      <w:r>
        <w:rPr>
          <w:rFonts w:ascii="Book Antiqua" w:hAnsi="Book Antiqua"/>
          <w:szCs w:val="22"/>
          <w:lang w:val="en-GB"/>
        </w:rPr>
        <w:t>Nglanggeran</w:t>
      </w:r>
      <w:proofErr w:type="spellEnd"/>
      <w:r>
        <w:rPr>
          <w:rFonts w:ascii="Book Antiqua" w:hAnsi="Book Antiqua"/>
          <w:szCs w:val="22"/>
          <w:lang w:val="en-GB"/>
        </w:rPr>
        <w:t>, is pertinent in light of the aforementioned information.</w:t>
      </w:r>
    </w:p>
    <w:p w:rsidR="000F4686" w:rsidRDefault="000F4686">
      <w:pPr>
        <w:spacing w:before="120" w:line="240" w:lineRule="auto"/>
        <w:rPr>
          <w:rFonts w:ascii="Book Antiqua" w:hAnsi="Book Antiqua"/>
          <w:b/>
          <w:bCs/>
          <w:szCs w:val="22"/>
          <w:lang w:val="en-GB"/>
        </w:rPr>
      </w:pPr>
    </w:p>
    <w:p w:rsidR="000F4686" w:rsidRDefault="00000000">
      <w:pPr>
        <w:spacing w:before="120" w:line="240" w:lineRule="auto"/>
        <w:rPr>
          <w:rFonts w:ascii="Book Antiqua" w:hAnsi="Book Antiqua"/>
          <w:b/>
          <w:bCs/>
          <w:szCs w:val="22"/>
          <w:lang w:val="en-GB"/>
        </w:rPr>
      </w:pPr>
      <w:r>
        <w:rPr>
          <w:rFonts w:ascii="Book Antiqua" w:hAnsi="Book Antiqua"/>
          <w:b/>
          <w:bCs/>
          <w:szCs w:val="22"/>
          <w:lang w:val="en-GB"/>
        </w:rPr>
        <w:t>Gendered employment and rural tourism</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Women are an important part of the tourism industry because of their complementary and reciprocal </w:t>
      </w:r>
      <w:r>
        <w:rPr>
          <w:rFonts w:ascii="Book Antiqua" w:hAnsi="Book Antiqua"/>
          <w:szCs w:val="22"/>
          <w:lang w:val="en-GB"/>
        </w:rPr>
        <w:t xml:space="preserve">relationships (Figueroa-Domecq et al., 2015; Westwood et al., 2000). On the one hand, tourism is beneficial to women because it provides opportunities for employment as well as business and entrepreneurial opportunities (Figueroa-Domecq &amp; Segovia-Perez, 2020; Figueroa-Domecq et al., 2015; </w:t>
      </w:r>
      <w:proofErr w:type="spellStart"/>
      <w:r>
        <w:rPr>
          <w:rFonts w:ascii="Book Antiqua" w:hAnsi="Book Antiqua"/>
          <w:szCs w:val="22"/>
          <w:lang w:val="en-GB"/>
        </w:rPr>
        <w:t>Ghodsee</w:t>
      </w:r>
      <w:proofErr w:type="spellEnd"/>
      <w:r>
        <w:rPr>
          <w:rFonts w:ascii="Book Antiqua" w:hAnsi="Book Antiqua"/>
          <w:szCs w:val="22"/>
          <w:lang w:val="en-GB"/>
        </w:rPr>
        <w:t xml:space="preserve">, 2003; Hanson, 2009; </w:t>
      </w:r>
      <w:proofErr w:type="spellStart"/>
      <w:r>
        <w:rPr>
          <w:rFonts w:ascii="Book Antiqua" w:hAnsi="Book Antiqua"/>
          <w:szCs w:val="22"/>
          <w:lang w:val="en-GB"/>
        </w:rPr>
        <w:t>Muoz-Bullón</w:t>
      </w:r>
      <w:proofErr w:type="spellEnd"/>
      <w:r>
        <w:rPr>
          <w:rFonts w:ascii="Book Antiqua" w:hAnsi="Book Antiqua"/>
          <w:szCs w:val="22"/>
          <w:lang w:val="en-GB"/>
        </w:rPr>
        <w:t xml:space="preserve">, 2009; Sinclair, 2005). Women’s positions, on the other hand, are critical for the tourism industry because they are strategic consumers of tourism products (Figueroa-Domecq et al., 2015; </w:t>
      </w:r>
      <w:proofErr w:type="spellStart"/>
      <w:r>
        <w:rPr>
          <w:rFonts w:ascii="Book Antiqua" w:hAnsi="Book Antiqua"/>
          <w:szCs w:val="22"/>
          <w:lang w:val="en-GB"/>
        </w:rPr>
        <w:t>Berdychevsky</w:t>
      </w:r>
      <w:proofErr w:type="spellEnd"/>
      <w:r>
        <w:rPr>
          <w:rFonts w:ascii="Book Antiqua" w:hAnsi="Book Antiqua"/>
          <w:szCs w:val="22"/>
          <w:lang w:val="en-GB"/>
        </w:rPr>
        <w:t xml:space="preserve"> et al., 2013; Westwood et al., 2000). Given the close relationship between tourism and women, it is surprising that studies on women in tourism only began to be presented intensively in the 1990s, alongside Ireland (1993), Swain (1993, 1995), Harvey et al. (1995), Kinnaird &amp; Hall (1996), Purcell (1996), and Burrell et al. (1997), all of whom used a gender approach to tourism (</w:t>
      </w:r>
      <w:proofErr w:type="spellStart"/>
      <w:r>
        <w:rPr>
          <w:rFonts w:ascii="Book Antiqua" w:hAnsi="Book Antiqua"/>
          <w:szCs w:val="22"/>
          <w:lang w:val="en-GB"/>
        </w:rPr>
        <w:t>Alarcón</w:t>
      </w:r>
      <w:proofErr w:type="spellEnd"/>
      <w:r>
        <w:rPr>
          <w:rFonts w:ascii="Book Antiqua" w:hAnsi="Book Antiqua"/>
          <w:szCs w:val="22"/>
          <w:lang w:val="en-GB"/>
        </w:rPr>
        <w:t xml:space="preserve"> &amp; Cole, 2019; Jeffrey, 2019; Pritchard &amp; Morgan, 2017; Figueroa-Domecq et al., 2015; Aitchison, 2005; Westwood et al., 2000).</w:t>
      </w:r>
    </w:p>
    <w:p w:rsidR="000F4686" w:rsidRDefault="00000000">
      <w:pPr>
        <w:spacing w:before="120" w:line="240" w:lineRule="auto"/>
        <w:rPr>
          <w:rFonts w:ascii="Book Antiqua" w:hAnsi="Book Antiqua"/>
          <w:szCs w:val="22"/>
          <w:lang w:val="en-GB"/>
        </w:rPr>
      </w:pPr>
      <w:r>
        <w:rPr>
          <w:rFonts w:ascii="Book Antiqua" w:hAnsi="Book Antiqua"/>
          <w:szCs w:val="22"/>
          <w:lang w:val="en-GB"/>
        </w:rPr>
        <w:t>The implementation of a gender approach in the tourism sector has made a scientific contribution in terms of conveying gender segregation on a wide range of issues, ranging from disparities in positions to work in the tourism industry to unequal business and entrepreneurship opportunities between men and women (Figueroa-</w:t>
      </w:r>
      <w:proofErr w:type="spellStart"/>
      <w:r>
        <w:rPr>
          <w:rFonts w:ascii="Book Antiqua" w:hAnsi="Book Antiqua"/>
          <w:szCs w:val="22"/>
          <w:lang w:val="en-GB"/>
        </w:rPr>
        <w:t>domecq</w:t>
      </w:r>
      <w:proofErr w:type="spellEnd"/>
      <w:r>
        <w:rPr>
          <w:rFonts w:ascii="Book Antiqua" w:hAnsi="Book Antiqua"/>
          <w:szCs w:val="22"/>
          <w:lang w:val="en-GB"/>
        </w:rPr>
        <w:t>, 2020). Ironically, women must face gender discrimination even when purchasing tourism products (</w:t>
      </w:r>
      <w:proofErr w:type="spellStart"/>
      <w:r>
        <w:rPr>
          <w:rFonts w:ascii="Book Antiqua" w:hAnsi="Book Antiqua"/>
          <w:szCs w:val="22"/>
          <w:lang w:val="en-GB"/>
        </w:rPr>
        <w:t>Berdychevsky</w:t>
      </w:r>
      <w:proofErr w:type="spellEnd"/>
      <w:r>
        <w:rPr>
          <w:rFonts w:ascii="Book Antiqua" w:hAnsi="Book Antiqua"/>
          <w:szCs w:val="22"/>
          <w:lang w:val="en-GB"/>
        </w:rPr>
        <w:t xml:space="preserve"> et al., 2013). Women, for example, are not encouraged to travel alone or to participate in extreme tourism activities that are perceived to be only for men (</w:t>
      </w:r>
      <w:proofErr w:type="spellStart"/>
      <w:r>
        <w:rPr>
          <w:rFonts w:ascii="Book Antiqua" w:hAnsi="Book Antiqua"/>
          <w:szCs w:val="22"/>
          <w:lang w:val="en-GB"/>
        </w:rPr>
        <w:t>Berdychevsky</w:t>
      </w:r>
      <w:proofErr w:type="spellEnd"/>
      <w:r>
        <w:rPr>
          <w:rFonts w:ascii="Book Antiqua" w:hAnsi="Book Antiqua"/>
          <w:szCs w:val="22"/>
          <w:lang w:val="en-GB"/>
        </w:rPr>
        <w:t xml:space="preserve"> et al., 2013; Wilson &amp; Little, 2008; Jordan &amp; Gibson, 2005). This is an example of gender inequality caused by social constructions that divide what is considered feminine and masculine (Figueroa-Domecq &amp; Segovia-Perez, 2020; </w:t>
      </w:r>
      <w:proofErr w:type="spellStart"/>
      <w:r>
        <w:rPr>
          <w:rFonts w:ascii="Book Antiqua" w:hAnsi="Book Antiqua"/>
          <w:szCs w:val="22"/>
          <w:lang w:val="en-GB"/>
        </w:rPr>
        <w:t>Deen</w:t>
      </w:r>
      <w:proofErr w:type="spellEnd"/>
      <w:r>
        <w:rPr>
          <w:rFonts w:ascii="Book Antiqua" w:hAnsi="Book Antiqua"/>
          <w:szCs w:val="22"/>
          <w:lang w:val="en-GB"/>
        </w:rPr>
        <w:t xml:space="preserve"> et al., 2016; </w:t>
      </w:r>
      <w:proofErr w:type="spellStart"/>
      <w:r>
        <w:rPr>
          <w:rFonts w:ascii="Book Antiqua" w:hAnsi="Book Antiqua"/>
          <w:szCs w:val="22"/>
          <w:lang w:val="en-GB"/>
        </w:rPr>
        <w:t>Jucan</w:t>
      </w:r>
      <w:proofErr w:type="spellEnd"/>
      <w:r>
        <w:rPr>
          <w:rFonts w:ascii="Book Antiqua" w:hAnsi="Book Antiqua"/>
          <w:szCs w:val="22"/>
          <w:lang w:val="en-GB"/>
        </w:rPr>
        <w:t xml:space="preserve"> &amp; </w:t>
      </w:r>
      <w:proofErr w:type="spellStart"/>
      <w:r>
        <w:rPr>
          <w:rFonts w:ascii="Book Antiqua" w:hAnsi="Book Antiqua"/>
          <w:szCs w:val="22"/>
          <w:lang w:val="en-GB"/>
        </w:rPr>
        <w:t>Jucan</w:t>
      </w:r>
      <w:proofErr w:type="spellEnd"/>
      <w:r>
        <w:rPr>
          <w:rFonts w:ascii="Book Antiqua" w:hAnsi="Book Antiqua"/>
          <w:szCs w:val="22"/>
          <w:lang w:val="en-GB"/>
        </w:rPr>
        <w:t>, 2013). Gender inequality is thought to be a barrier to achieving sustainability in the tourism industry (</w:t>
      </w:r>
      <w:proofErr w:type="spellStart"/>
      <w:r>
        <w:rPr>
          <w:rFonts w:ascii="Book Antiqua" w:hAnsi="Book Antiqua"/>
          <w:szCs w:val="22"/>
          <w:lang w:val="en-GB"/>
        </w:rPr>
        <w:t>Alarcón</w:t>
      </w:r>
      <w:proofErr w:type="spellEnd"/>
      <w:r>
        <w:rPr>
          <w:rFonts w:ascii="Book Antiqua" w:hAnsi="Book Antiqua"/>
          <w:szCs w:val="22"/>
          <w:lang w:val="en-GB"/>
        </w:rPr>
        <w:t xml:space="preserve"> &amp; Cole, 2019; </w:t>
      </w:r>
      <w:proofErr w:type="spellStart"/>
      <w:r>
        <w:rPr>
          <w:rFonts w:ascii="Book Antiqua" w:hAnsi="Book Antiqua"/>
          <w:szCs w:val="22"/>
          <w:lang w:val="en-GB"/>
        </w:rPr>
        <w:t>Bidegain</w:t>
      </w:r>
      <w:proofErr w:type="spellEnd"/>
      <w:r>
        <w:rPr>
          <w:rFonts w:ascii="Book Antiqua" w:hAnsi="Book Antiqua"/>
          <w:szCs w:val="22"/>
          <w:lang w:val="en-GB"/>
        </w:rPr>
        <w:t xml:space="preserve"> Ponte &amp; </w:t>
      </w:r>
      <w:proofErr w:type="spellStart"/>
      <w:r>
        <w:rPr>
          <w:rFonts w:ascii="Book Antiqua" w:hAnsi="Book Antiqua"/>
          <w:szCs w:val="22"/>
          <w:lang w:val="en-GB"/>
        </w:rPr>
        <w:t>Enríquez</w:t>
      </w:r>
      <w:proofErr w:type="spellEnd"/>
      <w:r>
        <w:rPr>
          <w:rFonts w:ascii="Book Antiqua" w:hAnsi="Book Antiqua"/>
          <w:szCs w:val="22"/>
          <w:lang w:val="en-GB"/>
        </w:rPr>
        <w:t xml:space="preserve">, 2016; Ferguson &amp; </w:t>
      </w:r>
      <w:proofErr w:type="spellStart"/>
      <w:r>
        <w:rPr>
          <w:rFonts w:ascii="Book Antiqua" w:hAnsi="Book Antiqua"/>
          <w:szCs w:val="22"/>
          <w:lang w:val="en-GB"/>
        </w:rPr>
        <w:t>Alarcón</w:t>
      </w:r>
      <w:proofErr w:type="spellEnd"/>
      <w:r>
        <w:rPr>
          <w:rFonts w:ascii="Book Antiqua" w:hAnsi="Book Antiqua"/>
          <w:szCs w:val="22"/>
          <w:lang w:val="en-GB"/>
        </w:rPr>
        <w:t>, 2015). As a result, the gender approach becomes critical as one of the foundations in understanding the tourism sector in order to realize a sustainable tourism agenda through: a) poverty alleviation; b) policy formulation that is fair to all; and c) framing activities related to more strategic and implementable community empowerment work (</w:t>
      </w:r>
      <w:proofErr w:type="spellStart"/>
      <w:r>
        <w:rPr>
          <w:rFonts w:ascii="Book Antiqua" w:hAnsi="Book Antiqua"/>
          <w:szCs w:val="22"/>
          <w:lang w:val="en-GB"/>
        </w:rPr>
        <w:t>Alarcón</w:t>
      </w:r>
      <w:proofErr w:type="spellEnd"/>
      <w:r>
        <w:rPr>
          <w:rFonts w:ascii="Book Antiqua" w:hAnsi="Book Antiqua"/>
          <w:szCs w:val="22"/>
          <w:lang w:val="en-GB"/>
        </w:rPr>
        <w:t xml:space="preserve"> &amp; Cole, 2019; </w:t>
      </w:r>
      <w:proofErr w:type="spellStart"/>
      <w:r>
        <w:rPr>
          <w:rFonts w:ascii="Book Antiqua" w:hAnsi="Book Antiqua"/>
          <w:szCs w:val="22"/>
          <w:lang w:val="en-GB"/>
        </w:rPr>
        <w:t>Bidegain</w:t>
      </w:r>
      <w:proofErr w:type="spellEnd"/>
      <w:r>
        <w:rPr>
          <w:rFonts w:ascii="Book Antiqua" w:hAnsi="Book Antiqua"/>
          <w:szCs w:val="22"/>
          <w:lang w:val="en-GB"/>
        </w:rPr>
        <w:t xml:space="preserve"> Ponte &amp; </w:t>
      </w:r>
      <w:proofErr w:type="spellStart"/>
      <w:r>
        <w:rPr>
          <w:rFonts w:ascii="Book Antiqua" w:hAnsi="Book Antiqua"/>
          <w:szCs w:val="22"/>
          <w:lang w:val="en-GB"/>
        </w:rPr>
        <w:t>Enríquez</w:t>
      </w:r>
      <w:proofErr w:type="spellEnd"/>
      <w:r>
        <w:rPr>
          <w:rFonts w:ascii="Book Antiqua" w:hAnsi="Book Antiqua"/>
          <w:szCs w:val="22"/>
          <w:lang w:val="en-GB"/>
        </w:rPr>
        <w:t xml:space="preserve">, 2016; Ferguson &amp; </w:t>
      </w:r>
      <w:proofErr w:type="spellStart"/>
      <w:r>
        <w:rPr>
          <w:rFonts w:ascii="Book Antiqua" w:hAnsi="Book Antiqua"/>
          <w:szCs w:val="22"/>
          <w:lang w:val="en-GB"/>
        </w:rPr>
        <w:t>Alarcón</w:t>
      </w:r>
      <w:proofErr w:type="spellEnd"/>
      <w:r>
        <w:rPr>
          <w:rFonts w:ascii="Book Antiqua" w:hAnsi="Book Antiqua"/>
          <w:szCs w:val="22"/>
          <w:lang w:val="en-GB"/>
        </w:rPr>
        <w:t xml:space="preserve">, 2015; Ferguson, 2011; </w:t>
      </w:r>
      <w:proofErr w:type="spellStart"/>
      <w:r>
        <w:rPr>
          <w:rFonts w:ascii="Book Antiqua" w:hAnsi="Book Antiqua"/>
          <w:szCs w:val="22"/>
          <w:lang w:val="en-GB"/>
        </w:rPr>
        <w:t>Scheyvens</w:t>
      </w:r>
      <w:proofErr w:type="spellEnd"/>
      <w:r>
        <w:rPr>
          <w:rFonts w:ascii="Book Antiqua" w:hAnsi="Book Antiqua"/>
          <w:szCs w:val="22"/>
          <w:lang w:val="en-GB"/>
        </w:rPr>
        <w:t>, 2000).</w:t>
      </w:r>
    </w:p>
    <w:p w:rsidR="000F4686" w:rsidRDefault="00000000">
      <w:pPr>
        <w:spacing w:before="120" w:line="240" w:lineRule="auto"/>
        <w:rPr>
          <w:rFonts w:ascii="Book Antiqua" w:hAnsi="Book Antiqua"/>
          <w:szCs w:val="22"/>
          <w:lang w:val="en-GB"/>
        </w:rPr>
      </w:pPr>
      <w:r>
        <w:rPr>
          <w:rFonts w:ascii="Book Antiqua" w:hAnsi="Book Antiqua"/>
          <w:szCs w:val="22"/>
          <w:lang w:val="en-GB"/>
        </w:rPr>
        <w:t>The use of a gender approach in tourism research is increasing (</w:t>
      </w:r>
      <w:proofErr w:type="spellStart"/>
      <w:r>
        <w:rPr>
          <w:rFonts w:ascii="Book Antiqua" w:hAnsi="Book Antiqua"/>
          <w:szCs w:val="22"/>
          <w:lang w:val="en-GB"/>
        </w:rPr>
        <w:t>Alarcón</w:t>
      </w:r>
      <w:proofErr w:type="spellEnd"/>
      <w:r>
        <w:rPr>
          <w:rFonts w:ascii="Book Antiqua" w:hAnsi="Book Antiqua"/>
          <w:szCs w:val="22"/>
          <w:lang w:val="en-GB"/>
        </w:rPr>
        <w:t xml:space="preserve"> &amp; Cole, 2019; Figueroa-</w:t>
      </w:r>
      <w:proofErr w:type="spellStart"/>
      <w:r>
        <w:rPr>
          <w:rFonts w:ascii="Book Antiqua" w:hAnsi="Book Antiqua"/>
          <w:szCs w:val="22"/>
          <w:lang w:val="en-GB"/>
        </w:rPr>
        <w:t>domecq</w:t>
      </w:r>
      <w:proofErr w:type="spellEnd"/>
      <w:r>
        <w:rPr>
          <w:rFonts w:ascii="Book Antiqua" w:hAnsi="Book Antiqua"/>
          <w:szCs w:val="22"/>
          <w:lang w:val="en-GB"/>
        </w:rPr>
        <w:t>, 2020; Figueroa-Domecq et al., 2015). These research interests are diverse and broad, ranging from tourism marketing, business and entrepreneurship in tourism, community empowerment, and human resources to tourism planning and development (Figueroa-</w:t>
      </w:r>
      <w:proofErr w:type="spellStart"/>
      <w:r>
        <w:rPr>
          <w:rFonts w:ascii="Book Antiqua" w:hAnsi="Book Antiqua"/>
          <w:szCs w:val="22"/>
          <w:lang w:val="en-GB"/>
        </w:rPr>
        <w:t>domecq</w:t>
      </w:r>
      <w:proofErr w:type="spellEnd"/>
      <w:r>
        <w:rPr>
          <w:rFonts w:ascii="Book Antiqua" w:hAnsi="Book Antiqua"/>
          <w:szCs w:val="22"/>
          <w:lang w:val="en-GB"/>
        </w:rPr>
        <w:t xml:space="preserve">, 2020; Pritchard &amp; Morgan, 2017). The gender perspective is considered particularly important in the context of tourism in rural areas or the countryside—commonly called rural tourism (Bramwell, 1994). This claim is founded on the assumption that women’s participation in rural areas plays a vital role in tourism support, and that tourism professionals’ behaviour and attitudes influence how tourists are treated and their views of the town (Wilson et al., 2001). Furthermore, rural tourism is mostly made up of small enterprises owned by local families that rely on women’s participation to give services to tourists and sponsor special </w:t>
      </w:r>
      <w:r>
        <w:rPr>
          <w:rFonts w:ascii="Book Antiqua" w:hAnsi="Book Antiqua"/>
          <w:szCs w:val="22"/>
          <w:lang w:val="en-GB"/>
        </w:rPr>
        <w:lastRenderedPageBreak/>
        <w:t xml:space="preserve">events that coincide with local tourist attractions (Lane, 1994; </w:t>
      </w:r>
      <w:proofErr w:type="spellStart"/>
      <w:r>
        <w:rPr>
          <w:rFonts w:ascii="Book Antiqua" w:hAnsi="Book Antiqua"/>
          <w:szCs w:val="22"/>
          <w:lang w:val="en-GB"/>
        </w:rPr>
        <w:t>Dimitrovski</w:t>
      </w:r>
      <w:proofErr w:type="spellEnd"/>
      <w:r>
        <w:rPr>
          <w:rFonts w:ascii="Book Antiqua" w:hAnsi="Book Antiqua"/>
          <w:szCs w:val="22"/>
          <w:lang w:val="en-GB"/>
        </w:rPr>
        <w:t xml:space="preserve"> et al., 2012). As a result, rural tourism is intricately related to rural community cultural activities (Lane, 1994), which are inexorably linked to women’s participation.</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Subsequently, studies with a gender approach in tourism are evolving, with the goal of taking a closer look at the capabilities possessed by women (communities) in seeking resilience to various pressures. </w:t>
      </w:r>
      <w:proofErr w:type="spellStart"/>
      <w:r>
        <w:rPr>
          <w:rFonts w:ascii="Book Antiqua" w:hAnsi="Book Antiqua"/>
          <w:szCs w:val="22"/>
          <w:lang w:val="en-GB"/>
        </w:rPr>
        <w:t>Rydzik</w:t>
      </w:r>
      <w:proofErr w:type="spellEnd"/>
      <w:r>
        <w:rPr>
          <w:rFonts w:ascii="Book Antiqua" w:hAnsi="Book Antiqua"/>
          <w:szCs w:val="22"/>
          <w:lang w:val="en-GB"/>
        </w:rPr>
        <w:t xml:space="preserve"> and </w:t>
      </w:r>
      <w:proofErr w:type="spellStart"/>
      <w:r>
        <w:rPr>
          <w:rFonts w:ascii="Book Antiqua" w:hAnsi="Book Antiqua"/>
          <w:szCs w:val="22"/>
          <w:lang w:val="en-GB"/>
        </w:rPr>
        <w:t>Anitha</w:t>
      </w:r>
      <w:proofErr w:type="spellEnd"/>
      <w:r>
        <w:rPr>
          <w:rFonts w:ascii="Book Antiqua" w:hAnsi="Book Antiqua"/>
          <w:szCs w:val="22"/>
          <w:lang w:val="en-GB"/>
        </w:rPr>
        <w:t xml:space="preserve"> (2020), for example, conducted research on the resilience developed by female migrant workers in the tourism sector in the United Kingdom. According to the research, migrant women working in tourism face exploitation and discrimination due to their gender and migrant status. To be able to respond decisively while minimizing exploitative and discriminatory treatment, their efforts are focused on adapting and developing capacity by improving English language skills and gaining experience in the field of work in which they are involved.</w:t>
      </w:r>
    </w:p>
    <w:p w:rsidR="000F4686" w:rsidRDefault="000F4686">
      <w:pPr>
        <w:spacing w:before="120" w:line="240" w:lineRule="auto"/>
        <w:rPr>
          <w:rFonts w:ascii="Book Antiqua" w:hAnsi="Book Antiqua"/>
          <w:b/>
          <w:bCs/>
          <w:szCs w:val="22"/>
          <w:lang w:val="en-GB"/>
        </w:rPr>
      </w:pPr>
    </w:p>
    <w:p w:rsidR="000F4686" w:rsidRDefault="00000000">
      <w:pPr>
        <w:spacing w:before="120" w:line="240" w:lineRule="auto"/>
        <w:rPr>
          <w:rFonts w:ascii="Book Antiqua" w:hAnsi="Book Antiqua"/>
          <w:b/>
          <w:bCs/>
          <w:szCs w:val="22"/>
          <w:lang w:val="en-GB"/>
        </w:rPr>
      </w:pPr>
      <w:r>
        <w:rPr>
          <w:rFonts w:ascii="Book Antiqua" w:hAnsi="Book Antiqua"/>
          <w:b/>
          <w:bCs/>
          <w:szCs w:val="22"/>
          <w:lang w:val="en-GB"/>
        </w:rPr>
        <w:t>Gendered resilience and adaptation</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Within tourism studies, research on resilience has predominantly focused on economic resilience, highly vulnerable systems, short-term disasters and hazards, and long-term climate change impacts (Adams et al., 2021; Bec et al., 2015; </w:t>
      </w:r>
      <w:proofErr w:type="spellStart"/>
      <w:r>
        <w:rPr>
          <w:rFonts w:ascii="Book Antiqua" w:hAnsi="Book Antiqua"/>
          <w:szCs w:val="22"/>
          <w:lang w:val="en-GB"/>
        </w:rPr>
        <w:t>Dogru</w:t>
      </w:r>
      <w:proofErr w:type="spellEnd"/>
      <w:r>
        <w:rPr>
          <w:rFonts w:ascii="Book Antiqua" w:hAnsi="Book Antiqua"/>
          <w:szCs w:val="22"/>
          <w:lang w:val="en-GB"/>
        </w:rPr>
        <w:t xml:space="preserve"> et al., 2019; Hamzah &amp; Hampton, 2013; Larsen et al., 2011; Lew, 2014; </w:t>
      </w:r>
      <w:proofErr w:type="spellStart"/>
      <w:r>
        <w:rPr>
          <w:rFonts w:ascii="Book Antiqua" w:hAnsi="Book Antiqua"/>
          <w:szCs w:val="22"/>
          <w:lang w:val="en-GB"/>
        </w:rPr>
        <w:t>Persada</w:t>
      </w:r>
      <w:proofErr w:type="spellEnd"/>
      <w:r>
        <w:rPr>
          <w:rFonts w:ascii="Book Antiqua" w:hAnsi="Book Antiqua"/>
          <w:szCs w:val="22"/>
          <w:lang w:val="en-GB"/>
        </w:rPr>
        <w:t xml:space="preserve"> &amp; Aji, 2021). As widely recognized, resilience can be formed by a series of adaptive capacities (Norris et al., 2008). Resilience can be defined as an individual’s or a community’s ability to learn, adapt, or even innovate in order to continue moving forward armed with capacity (</w:t>
      </w:r>
      <w:proofErr w:type="spellStart"/>
      <w:r>
        <w:rPr>
          <w:rFonts w:ascii="Book Antiqua" w:hAnsi="Book Antiqua"/>
          <w:szCs w:val="22"/>
          <w:lang w:val="en-GB"/>
        </w:rPr>
        <w:t>Becken</w:t>
      </w:r>
      <w:proofErr w:type="spellEnd"/>
      <w:r>
        <w:rPr>
          <w:rFonts w:ascii="Book Antiqua" w:hAnsi="Book Antiqua"/>
          <w:szCs w:val="22"/>
          <w:lang w:val="en-GB"/>
        </w:rPr>
        <w:t xml:space="preserve">, 2013; </w:t>
      </w:r>
      <w:proofErr w:type="spellStart"/>
      <w:r>
        <w:rPr>
          <w:rFonts w:ascii="Book Antiqua" w:hAnsi="Book Antiqua"/>
          <w:szCs w:val="22"/>
          <w:lang w:val="en-GB"/>
        </w:rPr>
        <w:t>Berkes</w:t>
      </w:r>
      <w:proofErr w:type="spellEnd"/>
      <w:r>
        <w:rPr>
          <w:rFonts w:ascii="Book Antiqua" w:hAnsi="Book Antiqua"/>
          <w:szCs w:val="22"/>
          <w:lang w:val="en-GB"/>
        </w:rPr>
        <w:t xml:space="preserve"> &amp; </w:t>
      </w:r>
      <w:proofErr w:type="spellStart"/>
      <w:r>
        <w:rPr>
          <w:rFonts w:ascii="Book Antiqua" w:hAnsi="Book Antiqua"/>
          <w:szCs w:val="22"/>
          <w:lang w:val="en-GB"/>
        </w:rPr>
        <w:t>Seixas</w:t>
      </w:r>
      <w:proofErr w:type="spellEnd"/>
      <w:r>
        <w:rPr>
          <w:rFonts w:ascii="Book Antiqua" w:hAnsi="Book Antiqua"/>
          <w:szCs w:val="22"/>
          <w:lang w:val="en-GB"/>
        </w:rPr>
        <w:t xml:space="preserve"> 2005), which is formed from skills and knowledge in dealing with disturbances, stress, or distress caused by stress, both arising from natural disasters and uncertainty caused by socio-economic situations (Hirani et al., 2016; Amir et al., 2015; Norris et al., 2008; Coles &amp; Buckle, 2004; Kimhi &amp; </w:t>
      </w:r>
      <w:proofErr w:type="spellStart"/>
      <w:r>
        <w:rPr>
          <w:rFonts w:ascii="Book Antiqua" w:hAnsi="Book Antiqua"/>
          <w:szCs w:val="22"/>
          <w:lang w:val="en-GB"/>
        </w:rPr>
        <w:t>Shomai</w:t>
      </w:r>
      <w:proofErr w:type="spellEnd"/>
      <w:r>
        <w:rPr>
          <w:rFonts w:ascii="Book Antiqua" w:hAnsi="Book Antiqua"/>
          <w:szCs w:val="22"/>
          <w:lang w:val="en-GB"/>
        </w:rPr>
        <w:t xml:space="preserve">, 2004; </w:t>
      </w:r>
      <w:proofErr w:type="spellStart"/>
      <w:r>
        <w:rPr>
          <w:rFonts w:ascii="Book Antiqua" w:hAnsi="Book Antiqua"/>
          <w:szCs w:val="22"/>
          <w:lang w:val="en-GB"/>
        </w:rPr>
        <w:t>Adger</w:t>
      </w:r>
      <w:proofErr w:type="spellEnd"/>
      <w:r>
        <w:rPr>
          <w:rFonts w:ascii="Book Antiqua" w:hAnsi="Book Antiqua"/>
          <w:szCs w:val="22"/>
          <w:lang w:val="en-GB"/>
        </w:rPr>
        <w:t xml:space="preserve">, 2000; Egeland et al., 1993). Nonetheless, resilience can be effectively formed with a variety of supporting factors such as social support, leadership and community participation, political partnerships, infrastructure, flexibility and creativity, and economic resource diversity (Norris et al., 2008). As a result, in the context of tourist destinations, the resilience that is built must consider aspects of value, culture, power relations, and the </w:t>
      </w:r>
      <w:proofErr w:type="spellStart"/>
      <w:r>
        <w:rPr>
          <w:rFonts w:ascii="Book Antiqua" w:hAnsi="Book Antiqua"/>
          <w:szCs w:val="22"/>
          <w:lang w:val="en-GB"/>
        </w:rPr>
        <w:t>communit’s</w:t>
      </w:r>
      <w:proofErr w:type="spellEnd"/>
      <w:r>
        <w:rPr>
          <w:rFonts w:ascii="Book Antiqua" w:hAnsi="Book Antiqua"/>
          <w:szCs w:val="22"/>
          <w:lang w:val="en-GB"/>
        </w:rPr>
        <w:t xml:space="preserve"> inherent livelihood strategies (</w:t>
      </w:r>
      <w:proofErr w:type="spellStart"/>
      <w:r>
        <w:rPr>
          <w:rFonts w:ascii="Book Antiqua" w:hAnsi="Book Antiqua"/>
          <w:szCs w:val="22"/>
          <w:lang w:val="en-GB"/>
        </w:rPr>
        <w:t>Dahles</w:t>
      </w:r>
      <w:proofErr w:type="spellEnd"/>
      <w:r>
        <w:rPr>
          <w:rFonts w:ascii="Book Antiqua" w:hAnsi="Book Antiqua"/>
          <w:szCs w:val="22"/>
          <w:lang w:val="en-GB"/>
        </w:rPr>
        <w:t xml:space="preserve"> &amp; </w:t>
      </w:r>
      <w:proofErr w:type="spellStart"/>
      <w:r>
        <w:rPr>
          <w:rFonts w:ascii="Book Antiqua" w:hAnsi="Book Antiqua"/>
          <w:szCs w:val="22"/>
          <w:lang w:val="en-GB"/>
        </w:rPr>
        <w:t>Susilowati</w:t>
      </w:r>
      <w:proofErr w:type="spellEnd"/>
      <w:r>
        <w:rPr>
          <w:rFonts w:ascii="Book Antiqua" w:hAnsi="Book Antiqua"/>
          <w:szCs w:val="22"/>
          <w:lang w:val="en-GB"/>
        </w:rPr>
        <w:t xml:space="preserve">, 2015; </w:t>
      </w:r>
      <w:proofErr w:type="spellStart"/>
      <w:r>
        <w:rPr>
          <w:rFonts w:ascii="Book Antiqua" w:hAnsi="Book Antiqua"/>
          <w:szCs w:val="22"/>
          <w:lang w:val="en-GB"/>
        </w:rPr>
        <w:t>Calgaro</w:t>
      </w:r>
      <w:proofErr w:type="spellEnd"/>
      <w:r>
        <w:rPr>
          <w:rFonts w:ascii="Book Antiqua" w:hAnsi="Book Antiqua"/>
          <w:szCs w:val="22"/>
          <w:lang w:val="en-GB"/>
        </w:rPr>
        <w:t xml:space="preserve"> et al., 2014; </w:t>
      </w:r>
      <w:proofErr w:type="spellStart"/>
      <w:r>
        <w:rPr>
          <w:rFonts w:ascii="Book Antiqua" w:hAnsi="Book Antiqua"/>
          <w:szCs w:val="22"/>
          <w:lang w:val="en-GB"/>
        </w:rPr>
        <w:t>Becken</w:t>
      </w:r>
      <w:proofErr w:type="spellEnd"/>
      <w:r>
        <w:rPr>
          <w:rFonts w:ascii="Book Antiqua" w:hAnsi="Book Antiqua"/>
          <w:szCs w:val="22"/>
          <w:lang w:val="en-GB"/>
        </w:rPr>
        <w:t>, 2013).</w:t>
      </w:r>
    </w:p>
    <w:p w:rsidR="000F4686" w:rsidRDefault="00000000">
      <w:pPr>
        <w:spacing w:before="120" w:line="240" w:lineRule="auto"/>
        <w:rPr>
          <w:rFonts w:ascii="Book Antiqua" w:hAnsi="Book Antiqua"/>
          <w:szCs w:val="22"/>
          <w:lang w:val="en-GB"/>
        </w:rPr>
      </w:pPr>
      <w:r>
        <w:rPr>
          <w:rFonts w:ascii="Book Antiqua" w:hAnsi="Book Antiqua"/>
          <w:szCs w:val="22"/>
          <w:lang w:val="en-GB"/>
        </w:rPr>
        <w:t>However, the conceptualization of resilience has not adequately accommodated gender understanding (Hirani et al., 2016). Factors that contribute to this lack of gender sensitivity arise from traditional views of gender position and dominant social views of what is called power in biological understanding, resulting in a separation of what behaviours are expected to be present as a response to adversity. What men must do when confronted with adversity differs from what women must do when confronted with hardship (Hirani et al., 2016). This explains why, because the social domain related to resilience in women is missing in many studies on resilience, the conclusions from various studies are likely to be consistent, namely that women are interpreted as less resilient when compared to men (Hirani et al. al., 2016).</w:t>
      </w:r>
    </w:p>
    <w:p w:rsidR="000F4686" w:rsidRDefault="00000000">
      <w:pPr>
        <w:spacing w:before="120" w:line="240" w:lineRule="auto"/>
        <w:rPr>
          <w:rFonts w:ascii="Book Antiqua" w:hAnsi="Book Antiqua"/>
          <w:szCs w:val="22"/>
          <w:lang w:val="en-GB"/>
        </w:rPr>
      </w:pPr>
      <w:r>
        <w:rPr>
          <w:rFonts w:ascii="Book Antiqua" w:hAnsi="Book Antiqua"/>
          <w:szCs w:val="22"/>
          <w:lang w:val="en-GB"/>
        </w:rPr>
        <w:t>In addition to the concept of resilience, a more in-depth examination of adaptation strategies within groups of women working in the tourism sector is required. Adaptation, which originated in biology, has long been used in social science to understand socioeconomic vulnerability as a result of climate change, so that adaptation to ongoing changes is required (</w:t>
      </w:r>
      <w:proofErr w:type="spellStart"/>
      <w:r>
        <w:rPr>
          <w:rFonts w:ascii="Book Antiqua" w:hAnsi="Book Antiqua"/>
          <w:szCs w:val="22"/>
          <w:lang w:val="en-GB"/>
        </w:rPr>
        <w:t>Butzer</w:t>
      </w:r>
      <w:proofErr w:type="spellEnd"/>
      <w:r>
        <w:rPr>
          <w:rFonts w:ascii="Book Antiqua" w:hAnsi="Book Antiqua"/>
          <w:szCs w:val="22"/>
          <w:lang w:val="en-GB"/>
        </w:rPr>
        <w:t xml:space="preserve">, 1980; Smit &amp; </w:t>
      </w:r>
      <w:proofErr w:type="spellStart"/>
      <w:r>
        <w:rPr>
          <w:rFonts w:ascii="Book Antiqua" w:hAnsi="Book Antiqua"/>
          <w:szCs w:val="22"/>
          <w:lang w:val="en-GB"/>
        </w:rPr>
        <w:t>Wandel</w:t>
      </w:r>
      <w:proofErr w:type="spellEnd"/>
      <w:r>
        <w:rPr>
          <w:rFonts w:ascii="Book Antiqua" w:hAnsi="Book Antiqua"/>
          <w:szCs w:val="22"/>
          <w:lang w:val="en-GB"/>
        </w:rPr>
        <w:t>, 2006; Brace &amp; Geoghegan, 2010). In its literal sense, adaptation refers to a group’s ability to transform its structure in order to survive in the face of ongoing threats by utilizing resource accumulation, information management, participation level, and risk dissemination processes (</w:t>
      </w:r>
      <w:proofErr w:type="spellStart"/>
      <w:r>
        <w:rPr>
          <w:rFonts w:ascii="Book Antiqua" w:hAnsi="Book Antiqua"/>
          <w:szCs w:val="22"/>
          <w:lang w:val="en-GB"/>
        </w:rPr>
        <w:t>Adger</w:t>
      </w:r>
      <w:proofErr w:type="spellEnd"/>
      <w:r>
        <w:rPr>
          <w:rFonts w:ascii="Book Antiqua" w:hAnsi="Book Antiqua"/>
          <w:szCs w:val="22"/>
          <w:lang w:val="en-GB"/>
        </w:rPr>
        <w:t xml:space="preserve">, 2000; Pielke, 1998; Smit &amp; </w:t>
      </w:r>
      <w:proofErr w:type="spellStart"/>
      <w:r>
        <w:rPr>
          <w:rFonts w:ascii="Book Antiqua" w:hAnsi="Book Antiqua"/>
          <w:szCs w:val="22"/>
          <w:lang w:val="en-GB"/>
        </w:rPr>
        <w:t>Wandel</w:t>
      </w:r>
      <w:proofErr w:type="spellEnd"/>
      <w:r>
        <w:rPr>
          <w:rFonts w:ascii="Book Antiqua" w:hAnsi="Book Antiqua"/>
          <w:szCs w:val="22"/>
          <w:lang w:val="en-GB"/>
        </w:rPr>
        <w:t xml:space="preserve">, 2003 &amp; 2006; Pelling, 2011; </w:t>
      </w:r>
      <w:proofErr w:type="spellStart"/>
      <w:r>
        <w:rPr>
          <w:rFonts w:ascii="Book Antiqua" w:hAnsi="Book Antiqua"/>
          <w:szCs w:val="22"/>
          <w:lang w:val="en-GB"/>
        </w:rPr>
        <w:t>Kaján</w:t>
      </w:r>
      <w:proofErr w:type="spellEnd"/>
      <w:r>
        <w:rPr>
          <w:rFonts w:ascii="Book Antiqua" w:hAnsi="Book Antiqua"/>
          <w:szCs w:val="22"/>
          <w:lang w:val="en-GB"/>
        </w:rPr>
        <w:t xml:space="preserve"> &amp; Saarinen, 2013). Vulnerability is a fundamental concept in understanding a system’s ability to deal with climate change by incorporating a number of important factors such as human behaviour, culture, history, and institutional capacity (Burton et al., 2002; </w:t>
      </w:r>
      <w:proofErr w:type="spellStart"/>
      <w:r>
        <w:rPr>
          <w:rFonts w:ascii="Book Antiqua" w:hAnsi="Book Antiqua"/>
          <w:szCs w:val="22"/>
          <w:lang w:val="en-GB"/>
        </w:rPr>
        <w:t>Handmer</w:t>
      </w:r>
      <w:proofErr w:type="spellEnd"/>
      <w:r>
        <w:rPr>
          <w:rFonts w:ascii="Book Antiqua" w:hAnsi="Book Antiqua"/>
          <w:szCs w:val="22"/>
          <w:lang w:val="en-GB"/>
        </w:rPr>
        <w:t xml:space="preserve"> et al., 1999). </w:t>
      </w:r>
      <w:proofErr w:type="spellStart"/>
      <w:r>
        <w:rPr>
          <w:rFonts w:ascii="Book Antiqua" w:hAnsi="Book Antiqua"/>
          <w:szCs w:val="22"/>
          <w:lang w:val="en-GB"/>
        </w:rPr>
        <w:t>Füssel</w:t>
      </w:r>
      <w:proofErr w:type="spellEnd"/>
      <w:r>
        <w:rPr>
          <w:rFonts w:ascii="Book Antiqua" w:hAnsi="Book Antiqua"/>
          <w:szCs w:val="22"/>
          <w:lang w:val="en-GB"/>
        </w:rPr>
        <w:t xml:space="preserve"> (2007) also discusses four dimensions of vulnerability: system, hazard, attributes of concern, and temporal reference.</w:t>
      </w:r>
    </w:p>
    <w:p w:rsidR="000F4686" w:rsidRDefault="00000000">
      <w:pPr>
        <w:spacing w:before="120" w:line="240" w:lineRule="auto"/>
        <w:rPr>
          <w:rFonts w:ascii="Book Antiqua" w:hAnsi="Book Antiqua"/>
          <w:szCs w:val="22"/>
          <w:lang w:val="en-GB"/>
        </w:rPr>
      </w:pPr>
      <w:r>
        <w:rPr>
          <w:rFonts w:ascii="Book Antiqua" w:hAnsi="Book Antiqua"/>
          <w:szCs w:val="22"/>
          <w:lang w:val="en-GB"/>
        </w:rPr>
        <w:t>Over the last 15 years, the literature review on climate change adaptation in the context of tourism has grown rapidly, and it has been divided into four study areas: business, consumer, destination, and policy (</w:t>
      </w:r>
      <w:proofErr w:type="spellStart"/>
      <w:r>
        <w:rPr>
          <w:rFonts w:ascii="Book Antiqua" w:hAnsi="Book Antiqua"/>
          <w:szCs w:val="22"/>
          <w:lang w:val="en-GB"/>
        </w:rPr>
        <w:t>Kaján</w:t>
      </w:r>
      <w:proofErr w:type="spellEnd"/>
      <w:r>
        <w:rPr>
          <w:rFonts w:ascii="Book Antiqua" w:hAnsi="Book Antiqua"/>
          <w:szCs w:val="22"/>
          <w:lang w:val="en-GB"/>
        </w:rPr>
        <w:t xml:space="preserve"> &amp; Saarinen, 2013). The business sector is used as a conceptual framework in this study to determine adaptation strategies in micro, small, and medium enterprises. However, the primary concern, accounting for up to 40% of all adaptation strategies, is climate change, which has an impact on sky tourism because it is heavily influenced by climate change (Weaver, 2011). As a result, during the current COVID-19 pandemic, the discussion of non-physical adaptation strategies must be expanded even further. Several research findings also mentioned various adaptation mechanisms, such as diversification of tourism products (Dubois &amp; </w:t>
      </w:r>
      <w:proofErr w:type="spellStart"/>
      <w:r>
        <w:rPr>
          <w:rFonts w:ascii="Book Antiqua" w:hAnsi="Book Antiqua"/>
          <w:szCs w:val="22"/>
          <w:lang w:val="en-GB"/>
        </w:rPr>
        <w:t>Ceron</w:t>
      </w:r>
      <w:proofErr w:type="spellEnd"/>
      <w:r>
        <w:rPr>
          <w:rFonts w:ascii="Book Antiqua" w:hAnsi="Book Antiqua"/>
          <w:szCs w:val="22"/>
          <w:lang w:val="en-GB"/>
        </w:rPr>
        <w:t xml:space="preserve">, 2006; </w:t>
      </w:r>
      <w:proofErr w:type="spellStart"/>
      <w:r>
        <w:rPr>
          <w:rFonts w:ascii="Book Antiqua" w:hAnsi="Book Antiqua"/>
          <w:szCs w:val="22"/>
          <w:lang w:val="en-GB"/>
        </w:rPr>
        <w:t>Buzinde</w:t>
      </w:r>
      <w:proofErr w:type="spellEnd"/>
      <w:r>
        <w:rPr>
          <w:rFonts w:ascii="Book Antiqua" w:hAnsi="Book Antiqua"/>
          <w:szCs w:val="22"/>
          <w:lang w:val="en-GB"/>
        </w:rPr>
        <w:t>, 2010; Marshall, 2011), physical building adaptation (</w:t>
      </w:r>
      <w:proofErr w:type="spellStart"/>
      <w:r>
        <w:rPr>
          <w:rFonts w:ascii="Book Antiqua" w:hAnsi="Book Antiqua"/>
          <w:szCs w:val="22"/>
          <w:lang w:val="en-GB"/>
        </w:rPr>
        <w:t>Kaján</w:t>
      </w:r>
      <w:proofErr w:type="spellEnd"/>
      <w:r>
        <w:rPr>
          <w:rFonts w:ascii="Book Antiqua" w:hAnsi="Book Antiqua"/>
          <w:szCs w:val="22"/>
          <w:lang w:val="en-GB"/>
        </w:rPr>
        <w:t xml:space="preserve"> &amp; Saarinen, 2013), and selling alternative products (</w:t>
      </w:r>
      <w:proofErr w:type="spellStart"/>
      <w:r>
        <w:rPr>
          <w:rFonts w:ascii="Book Antiqua" w:hAnsi="Book Antiqua"/>
          <w:szCs w:val="22"/>
          <w:lang w:val="en-GB"/>
        </w:rPr>
        <w:t>Kaján</w:t>
      </w:r>
      <w:proofErr w:type="spellEnd"/>
      <w:r>
        <w:rPr>
          <w:rFonts w:ascii="Book Antiqua" w:hAnsi="Book Antiqua"/>
          <w:szCs w:val="22"/>
          <w:lang w:val="en-GB"/>
        </w:rPr>
        <w:t xml:space="preserve"> &amp; Saarinen, 2013). However, in the case of micro and small businesses, this strategy is far from beneficial to the local economy (Hall, 2006). Furthermore, the literature on gender-based adaptation strategies is still limited and largely ignored (</w:t>
      </w:r>
      <w:proofErr w:type="spellStart"/>
      <w:r>
        <w:rPr>
          <w:rFonts w:ascii="Book Antiqua" w:hAnsi="Book Antiqua"/>
          <w:szCs w:val="22"/>
          <w:lang w:val="en-GB"/>
        </w:rPr>
        <w:t>Adger</w:t>
      </w:r>
      <w:proofErr w:type="spellEnd"/>
      <w:r>
        <w:rPr>
          <w:rFonts w:ascii="Book Antiqua" w:hAnsi="Book Antiqua"/>
          <w:szCs w:val="22"/>
          <w:lang w:val="en-GB"/>
        </w:rPr>
        <w:t xml:space="preserve"> et al., 2007).</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Despite the fact that businessperson play an important role in a destination, adaptation strategies must be pursued with the participation of local communities (Roman et al., 2010; </w:t>
      </w:r>
      <w:proofErr w:type="spellStart"/>
      <w:r>
        <w:rPr>
          <w:rFonts w:ascii="Book Antiqua" w:hAnsi="Book Antiqua"/>
          <w:szCs w:val="22"/>
          <w:lang w:val="en-GB"/>
        </w:rPr>
        <w:t>Kaján</w:t>
      </w:r>
      <w:proofErr w:type="spellEnd"/>
      <w:r>
        <w:rPr>
          <w:rFonts w:ascii="Book Antiqua" w:hAnsi="Book Antiqua"/>
          <w:szCs w:val="22"/>
          <w:lang w:val="en-GB"/>
        </w:rPr>
        <w:t xml:space="preserve"> &amp; Saarinen, 2013). This is an attempt to avoid future clashes between tourism businesses and the community (Roman et al., 2010). Adaptation strategies, as they were during the pandemic, include looking for alternative jobs for workers, innovating products, and increasing sales (Kristiana et al., 2021). Similarly, the government helps its subordinate organizations deal with crises (Pedroza-Gutiérrez et al., 2021). As a result, the COVID-19 pandemic period can serve as a catalyst for the development of a more adaptable business model that is not dependent on the currently constrained international market.</w:t>
      </w:r>
    </w:p>
    <w:p w:rsidR="000F4686" w:rsidRDefault="00000000">
      <w:pPr>
        <w:spacing w:before="120" w:line="240" w:lineRule="auto"/>
        <w:rPr>
          <w:rFonts w:ascii="Book Antiqua" w:hAnsi="Book Antiqua"/>
          <w:szCs w:val="22"/>
          <w:lang w:val="en-GB"/>
        </w:rPr>
      </w:pPr>
      <w:r>
        <w:rPr>
          <w:rFonts w:ascii="Book Antiqua" w:hAnsi="Book Antiqua"/>
          <w:szCs w:val="22"/>
          <w:lang w:val="en-GB"/>
        </w:rPr>
        <w:t>The crisis management framework is divided into three distinct time periods during a pandemic, each of which can be further subdivided into several steps (</w:t>
      </w:r>
      <w:proofErr w:type="spellStart"/>
      <w:r>
        <w:rPr>
          <w:rFonts w:ascii="Book Antiqua" w:hAnsi="Book Antiqua"/>
          <w:szCs w:val="22"/>
          <w:lang w:val="en-GB"/>
        </w:rPr>
        <w:t>Dayour</w:t>
      </w:r>
      <w:proofErr w:type="spellEnd"/>
      <w:r>
        <w:rPr>
          <w:rFonts w:ascii="Book Antiqua" w:hAnsi="Book Antiqua"/>
          <w:szCs w:val="22"/>
          <w:lang w:val="en-GB"/>
        </w:rPr>
        <w:t xml:space="preserve"> et al., 2020). The first time period is an occurrence that takes place during a crisis and becomes a real issue that micro and </w:t>
      </w:r>
      <w:r>
        <w:rPr>
          <w:rFonts w:ascii="Book Antiqua" w:hAnsi="Book Antiqua"/>
          <w:szCs w:val="22"/>
          <w:lang w:val="en-GB"/>
        </w:rPr>
        <w:lastRenderedPageBreak/>
        <w:t>small businesses must deal with. It is divided into three sections during this time: virus combat, awareness, and coping mechanisms. The recovery period, which is further subdivided into short-term and long-term recovery, occurs during the second phase of the crisis. The final period is a resolution period in which they can take lessons when a crisis occurs in order to find the best composition to deal with the crisis.</w:t>
      </w:r>
    </w:p>
    <w:p w:rsidR="000F4686" w:rsidRDefault="00000000">
      <w:pPr>
        <w:spacing w:before="120" w:line="240" w:lineRule="auto"/>
        <w:rPr>
          <w:rFonts w:ascii="Book Antiqua" w:hAnsi="Book Antiqua"/>
          <w:szCs w:val="22"/>
          <w:lang w:val="en-GB"/>
        </w:rPr>
      </w:pPr>
      <w:r>
        <w:rPr>
          <w:rFonts w:ascii="Book Antiqua" w:hAnsi="Book Antiqua"/>
          <w:szCs w:val="22"/>
          <w:lang w:val="en-GB"/>
        </w:rPr>
        <w:t>According to the framework above, coping mechanisms are part of the period during the crisis event. In general, the strategy is to keep the virus from spreading by adhering to health protocols such as wearing masks, washing hands, and checking the temperature before entering a room (</w:t>
      </w:r>
      <w:proofErr w:type="spellStart"/>
      <w:r>
        <w:rPr>
          <w:rFonts w:ascii="Book Antiqua" w:hAnsi="Book Antiqua"/>
          <w:szCs w:val="22"/>
          <w:lang w:val="en-GB"/>
        </w:rPr>
        <w:t>Dayour</w:t>
      </w:r>
      <w:proofErr w:type="spellEnd"/>
      <w:r>
        <w:rPr>
          <w:rFonts w:ascii="Book Antiqua" w:hAnsi="Book Antiqua"/>
          <w:szCs w:val="22"/>
          <w:lang w:val="en-GB"/>
        </w:rPr>
        <w:t xml:space="preserve"> et al., 2020). Another approach can be used in the tourism sector’s coping strategy for micro and medium-sized businesses. Managers, for example, can diversify their product offerings, shift their target market, and promote themselves via social media (Hong et al., 2012; </w:t>
      </w:r>
      <w:proofErr w:type="spellStart"/>
      <w:r>
        <w:rPr>
          <w:rFonts w:ascii="Book Antiqua" w:hAnsi="Book Antiqua"/>
          <w:szCs w:val="22"/>
          <w:lang w:val="en-GB"/>
        </w:rPr>
        <w:t>Dayour</w:t>
      </w:r>
      <w:proofErr w:type="spellEnd"/>
      <w:r>
        <w:rPr>
          <w:rFonts w:ascii="Book Antiqua" w:hAnsi="Book Antiqua"/>
          <w:szCs w:val="22"/>
          <w:lang w:val="en-GB"/>
        </w:rPr>
        <w:t xml:space="preserve"> et al., 2020). Furthermore, the availability of government assistance, such as stimulus packages and tax breaks, is a critical component of putting a coping strategy in place (Foo et al., 2020; </w:t>
      </w:r>
      <w:proofErr w:type="spellStart"/>
      <w:r>
        <w:rPr>
          <w:rFonts w:ascii="Book Antiqua" w:hAnsi="Book Antiqua"/>
          <w:szCs w:val="22"/>
          <w:lang w:val="en-GB"/>
        </w:rPr>
        <w:t>Dayour</w:t>
      </w:r>
      <w:proofErr w:type="spellEnd"/>
      <w:r>
        <w:rPr>
          <w:rFonts w:ascii="Book Antiqua" w:hAnsi="Book Antiqua"/>
          <w:szCs w:val="22"/>
          <w:lang w:val="en-GB"/>
        </w:rPr>
        <w:t xml:space="preserve"> et al., 2020). To keep the business balance sheet stable, owners must cut costs by temporarily laying off employees, terminating contract workers, reducing remuneration, retaining senior employees, and even not being paid during that period (</w:t>
      </w:r>
      <w:proofErr w:type="spellStart"/>
      <w:r>
        <w:rPr>
          <w:rFonts w:ascii="Book Antiqua" w:hAnsi="Book Antiqua"/>
          <w:szCs w:val="22"/>
          <w:lang w:val="en-GB"/>
        </w:rPr>
        <w:t>Gossling</w:t>
      </w:r>
      <w:proofErr w:type="spellEnd"/>
      <w:r>
        <w:rPr>
          <w:rFonts w:ascii="Book Antiqua" w:hAnsi="Book Antiqua"/>
          <w:szCs w:val="22"/>
          <w:lang w:val="en-GB"/>
        </w:rPr>
        <w:t xml:space="preserve"> et al., 2020).</w:t>
      </w:r>
    </w:p>
    <w:p w:rsidR="000F4686" w:rsidRDefault="00000000">
      <w:pPr>
        <w:spacing w:before="120" w:line="240" w:lineRule="auto"/>
        <w:rPr>
          <w:rFonts w:ascii="Book Antiqua" w:hAnsi="Book Antiqua"/>
          <w:szCs w:val="22"/>
          <w:lang w:val="en-GB"/>
        </w:rPr>
      </w:pPr>
      <w:r>
        <w:rPr>
          <w:rFonts w:ascii="Book Antiqua" w:hAnsi="Book Antiqua"/>
          <w:szCs w:val="22"/>
          <w:lang w:val="en-GB"/>
        </w:rPr>
        <w:t>The objective of this study is to analyse the circumstances of female employees in the tourism village amidst the pandemic, evaluate the extent to which women are capable of acquiring technological competencies to enhance the resilience of the tourism industry, and explore the effects of these endeavours on domestic relationships.</w:t>
      </w:r>
    </w:p>
    <w:p w:rsidR="000F4686" w:rsidRDefault="00000000">
      <w:pPr>
        <w:pStyle w:val="Heading1"/>
        <w:numPr>
          <w:ilvl w:val="0"/>
          <w:numId w:val="0"/>
        </w:numPr>
        <w:rPr>
          <w:rFonts w:ascii="Book Antiqua" w:hAnsi="Book Antiqua" w:cs="Arial"/>
          <w:sz w:val="20"/>
          <w:szCs w:val="20"/>
          <w:lang w:val="en-GB"/>
        </w:rPr>
      </w:pPr>
      <w:r>
        <w:rPr>
          <w:rFonts w:ascii="Book Antiqua" w:hAnsi="Book Antiqua" w:cs="Arial"/>
          <w:sz w:val="20"/>
          <w:szCs w:val="20"/>
          <w:lang w:val="en-GB"/>
        </w:rPr>
        <w:t>METHOD</w:t>
      </w:r>
    </w:p>
    <w:p w:rsidR="0074286D" w:rsidRPr="0074286D" w:rsidRDefault="0074286D" w:rsidP="0074286D">
      <w:pPr>
        <w:keepNext/>
        <w:framePr w:dropCap="drop" w:lines="3" w:wrap="around" w:vAnchor="text" w:hAnchor="text"/>
        <w:spacing w:line="651" w:lineRule="exact"/>
        <w:textAlignment w:val="baseline"/>
        <w:rPr>
          <w:rFonts w:ascii="Book Antiqua" w:hAnsi="Book Antiqua"/>
          <w:position w:val="-8"/>
          <w:sz w:val="80"/>
          <w:szCs w:val="22"/>
          <w:lang w:val="en-GB"/>
        </w:rPr>
      </w:pPr>
      <w:r w:rsidRPr="0074286D">
        <w:rPr>
          <w:rFonts w:ascii="Book Antiqua" w:hAnsi="Book Antiqua"/>
          <w:position w:val="-8"/>
          <w:sz w:val="80"/>
          <w:szCs w:val="22"/>
          <w:lang w:val="en-GB"/>
        </w:rPr>
        <w:t>T</w:t>
      </w:r>
    </w:p>
    <w:p w:rsidR="000F4686" w:rsidRDefault="00000000">
      <w:pPr>
        <w:widowControl w:val="0"/>
        <w:autoSpaceDE w:val="0"/>
        <w:autoSpaceDN w:val="0"/>
        <w:adjustRightInd w:val="0"/>
        <w:spacing w:before="120" w:line="240" w:lineRule="auto"/>
        <w:rPr>
          <w:rFonts w:ascii="Book Antiqua" w:hAnsi="Book Antiqua"/>
          <w:szCs w:val="22"/>
          <w:lang w:val="en-GB"/>
        </w:rPr>
      </w:pPr>
      <w:r>
        <w:rPr>
          <w:rFonts w:ascii="Book Antiqua" w:hAnsi="Book Antiqua"/>
          <w:szCs w:val="22"/>
          <w:lang w:val="en-GB"/>
        </w:rPr>
        <w:t xml:space="preserve">his study employs a qualitative strategy to investigate situations in a particular context with a distinctive setting (Merriam &amp; </w:t>
      </w:r>
      <w:proofErr w:type="spellStart"/>
      <w:r>
        <w:rPr>
          <w:rFonts w:ascii="Book Antiqua" w:hAnsi="Book Antiqua"/>
          <w:szCs w:val="22"/>
          <w:lang w:val="en-GB"/>
        </w:rPr>
        <w:t>Tisdell</w:t>
      </w:r>
      <w:proofErr w:type="spellEnd"/>
      <w:r>
        <w:rPr>
          <w:rFonts w:ascii="Book Antiqua" w:hAnsi="Book Antiqua"/>
          <w:szCs w:val="22"/>
          <w:lang w:val="en-GB"/>
        </w:rPr>
        <w:t xml:space="preserve">, 2016), which was faced by female tourism workers in </w:t>
      </w:r>
      <w:proofErr w:type="spellStart"/>
      <w:r>
        <w:rPr>
          <w:rFonts w:ascii="Book Antiqua" w:hAnsi="Book Antiqua"/>
          <w:szCs w:val="22"/>
          <w:lang w:val="en-GB"/>
        </w:rPr>
        <w:t>Nglanggeran</w:t>
      </w:r>
      <w:proofErr w:type="spellEnd"/>
      <w:r>
        <w:rPr>
          <w:rFonts w:ascii="Book Antiqua" w:hAnsi="Book Antiqua"/>
          <w:szCs w:val="22"/>
          <w:lang w:val="en-GB"/>
        </w:rPr>
        <w:t xml:space="preserve"> and the resilience efforts they put in place during the COVID-19 pandemic. In order to answer the research questions, the researchers need observational data on the condition of women working in the tourism sector during a crisis situation caused by the COVID-19 pandemic, interviews with women working in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Coklat</w:t>
      </w:r>
      <w:proofErr w:type="spellEnd"/>
      <w:r>
        <w:rPr>
          <w:rFonts w:ascii="Book Antiqua" w:hAnsi="Book Antiqua"/>
          <w:szCs w:val="22"/>
          <w:lang w:val="en-GB"/>
        </w:rPr>
        <w:t xml:space="preserve">, and literature data relevant to the research topic. Researchers made observations while visiting </w:t>
      </w:r>
      <w:proofErr w:type="spellStart"/>
      <w:r>
        <w:rPr>
          <w:rFonts w:ascii="Book Antiqua" w:hAnsi="Book Antiqua"/>
          <w:szCs w:val="22"/>
          <w:lang w:val="en-GB"/>
        </w:rPr>
        <w:t>Nglanggeran</w:t>
      </w:r>
      <w:proofErr w:type="spellEnd"/>
      <w:r>
        <w:rPr>
          <w:rFonts w:ascii="Book Antiqua" w:hAnsi="Book Antiqua"/>
          <w:szCs w:val="22"/>
          <w:lang w:val="en-GB"/>
        </w:rPr>
        <w:t xml:space="preserve"> and witnessing first-hand how female tourism workers carried out their duties during the COVID-19 pandemic. The observation was conducted throughout the period spanning from June to September in the year 2021. In addition to this, the authors have prior research experiences in the respective tourism communities dating back to 2016.</w:t>
      </w:r>
    </w:p>
    <w:p w:rsidR="000F4686" w:rsidRDefault="00000000">
      <w:pPr>
        <w:widowControl w:val="0"/>
        <w:autoSpaceDE w:val="0"/>
        <w:autoSpaceDN w:val="0"/>
        <w:adjustRightInd w:val="0"/>
        <w:spacing w:before="120" w:line="240" w:lineRule="auto"/>
        <w:rPr>
          <w:rFonts w:ascii="Book Antiqua" w:hAnsi="Book Antiqua"/>
          <w:szCs w:val="22"/>
          <w:lang w:val="en-GB"/>
        </w:rPr>
      </w:pPr>
      <w:r>
        <w:rPr>
          <w:rFonts w:ascii="Book Antiqua" w:hAnsi="Book Antiqua"/>
          <w:szCs w:val="22"/>
          <w:lang w:val="en-GB"/>
        </w:rPr>
        <w:t>In light of the foregoing context, the following research questions are proposed:</w:t>
      </w:r>
    </w:p>
    <w:p w:rsidR="000F4686" w:rsidRDefault="00000000">
      <w:pPr>
        <w:widowControl w:val="0"/>
        <w:autoSpaceDE w:val="0"/>
        <w:autoSpaceDN w:val="0"/>
        <w:adjustRightInd w:val="0"/>
        <w:spacing w:before="120" w:line="240" w:lineRule="auto"/>
        <w:rPr>
          <w:rFonts w:ascii="Book Antiqua" w:hAnsi="Book Antiqua"/>
          <w:szCs w:val="22"/>
          <w:lang w:val="en-GB"/>
        </w:rPr>
      </w:pPr>
      <w:r>
        <w:rPr>
          <w:rFonts w:ascii="Book Antiqua" w:hAnsi="Book Antiqua"/>
          <w:szCs w:val="22"/>
          <w:lang w:val="en-GB"/>
        </w:rPr>
        <w:t xml:space="preserve">RQ 1 How did female tourism workers in </w:t>
      </w:r>
      <w:proofErr w:type="spellStart"/>
      <w:r>
        <w:rPr>
          <w:rFonts w:ascii="Book Antiqua" w:hAnsi="Book Antiqua"/>
          <w:szCs w:val="22"/>
          <w:lang w:val="en-GB"/>
        </w:rPr>
        <w:t>Nglanggeran</w:t>
      </w:r>
      <w:proofErr w:type="spellEnd"/>
      <w:r>
        <w:rPr>
          <w:rFonts w:ascii="Book Antiqua" w:hAnsi="Book Antiqua"/>
          <w:szCs w:val="22"/>
          <w:lang w:val="en-GB"/>
        </w:rPr>
        <w:t xml:space="preserve"> fare during the COVID-19 pandemic?</w:t>
      </w:r>
    </w:p>
    <w:p w:rsidR="000F4686" w:rsidRDefault="00000000">
      <w:pPr>
        <w:widowControl w:val="0"/>
        <w:autoSpaceDE w:val="0"/>
        <w:autoSpaceDN w:val="0"/>
        <w:adjustRightInd w:val="0"/>
        <w:spacing w:before="120" w:line="240" w:lineRule="auto"/>
        <w:rPr>
          <w:rFonts w:ascii="Book Antiqua" w:hAnsi="Book Antiqua"/>
          <w:szCs w:val="22"/>
          <w:lang w:val="en-GB"/>
        </w:rPr>
      </w:pPr>
      <w:r>
        <w:rPr>
          <w:rFonts w:ascii="Book Antiqua" w:hAnsi="Book Antiqua"/>
          <w:szCs w:val="22"/>
          <w:lang w:val="en-GB"/>
        </w:rPr>
        <w:t xml:space="preserve">RQ 2 To what extent did the women-led work unit contribute to the resilience initiatives of the tourism sector in </w:t>
      </w:r>
      <w:proofErr w:type="spellStart"/>
      <w:r>
        <w:rPr>
          <w:rFonts w:ascii="Book Antiqua" w:hAnsi="Book Antiqua"/>
          <w:szCs w:val="22"/>
          <w:lang w:val="en-GB"/>
        </w:rPr>
        <w:t>Nglanggeran</w:t>
      </w:r>
      <w:proofErr w:type="spellEnd"/>
      <w:r>
        <w:rPr>
          <w:rFonts w:ascii="Book Antiqua" w:hAnsi="Book Antiqua"/>
          <w:szCs w:val="22"/>
          <w:lang w:val="en-GB"/>
        </w:rPr>
        <w:t xml:space="preserve"> amidst the COVID-19 pandemic? and </w:t>
      </w:r>
    </w:p>
    <w:p w:rsidR="000F4686" w:rsidRDefault="00000000">
      <w:pPr>
        <w:widowControl w:val="0"/>
        <w:autoSpaceDE w:val="0"/>
        <w:autoSpaceDN w:val="0"/>
        <w:adjustRightInd w:val="0"/>
        <w:spacing w:before="120" w:line="240" w:lineRule="auto"/>
        <w:rPr>
          <w:rFonts w:ascii="Book Antiqua" w:hAnsi="Book Antiqua"/>
          <w:szCs w:val="22"/>
          <w:lang w:val="en-GB"/>
        </w:rPr>
      </w:pPr>
      <w:r>
        <w:rPr>
          <w:rFonts w:ascii="Book Antiqua" w:hAnsi="Book Antiqua"/>
          <w:szCs w:val="22"/>
          <w:lang w:val="en-GB"/>
        </w:rPr>
        <w:t xml:space="preserve">RQ 3 How have gender dynamics at home been impacted by the resilience of women in the tourism industry amidst </w:t>
      </w:r>
      <w:r>
        <w:rPr>
          <w:rFonts w:ascii="Book Antiqua" w:hAnsi="Book Antiqua"/>
          <w:szCs w:val="22"/>
          <w:lang w:val="en-GB"/>
        </w:rPr>
        <w:t xml:space="preserve">the COVID-19 pandemic? </w:t>
      </w:r>
    </w:p>
    <w:p w:rsidR="000F4686" w:rsidRDefault="00000000">
      <w:pPr>
        <w:widowControl w:val="0"/>
        <w:autoSpaceDE w:val="0"/>
        <w:autoSpaceDN w:val="0"/>
        <w:adjustRightInd w:val="0"/>
        <w:spacing w:before="120" w:line="240" w:lineRule="auto"/>
        <w:rPr>
          <w:rFonts w:ascii="Book Antiqua" w:hAnsi="Book Antiqua"/>
          <w:szCs w:val="22"/>
          <w:lang w:val="en-GB"/>
        </w:rPr>
      </w:pPr>
      <w:r>
        <w:rPr>
          <w:rFonts w:ascii="Book Antiqua" w:hAnsi="Book Antiqua"/>
          <w:szCs w:val="22"/>
          <w:lang w:val="en-GB"/>
        </w:rPr>
        <w:t xml:space="preserve">The research was conducted in </w:t>
      </w:r>
      <w:proofErr w:type="spellStart"/>
      <w:r>
        <w:rPr>
          <w:rFonts w:ascii="Book Antiqua" w:hAnsi="Book Antiqua"/>
          <w:szCs w:val="22"/>
          <w:lang w:val="en-GB"/>
        </w:rPr>
        <w:t>Nglanggeran</w:t>
      </w:r>
      <w:proofErr w:type="spellEnd"/>
      <w:r>
        <w:rPr>
          <w:rFonts w:ascii="Book Antiqua" w:hAnsi="Book Antiqua"/>
          <w:szCs w:val="22"/>
          <w:lang w:val="en-GB"/>
        </w:rPr>
        <w:t xml:space="preserve"> Tourism Village during the period of April-September 2021. Because of the imposition of restrictions on community activities (partial lock-down, PPKM) for approximately two months during the research period, the researchers used a mixed-methods approach to data collection via interviews. Parts of the interviews were conducted in person, while others were conducted over the phone and through WhatsApp chats. Observations and interviews were conducted on the spur of the moment, according to a timetable established by the resource persons. Eleven people were interviewed, including five female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Coklat</w:t>
      </w:r>
      <w:proofErr w:type="spellEnd"/>
      <w:r>
        <w:rPr>
          <w:rFonts w:ascii="Book Antiqua" w:hAnsi="Book Antiqua"/>
          <w:szCs w:val="22"/>
          <w:lang w:val="en-GB"/>
        </w:rPr>
        <w:t xml:space="preserve"> employees and their spouses, as well as the unit’s manager. The semi-structured interviews lasted about 50-60 minutes per informant. Aside from the manager, a young man, a list of the ten informants, which includes five couples, is provided below:</w:t>
      </w:r>
    </w:p>
    <w:p w:rsidR="000F4686" w:rsidRDefault="00000000">
      <w:pPr>
        <w:widowControl w:val="0"/>
        <w:autoSpaceDE w:val="0"/>
        <w:autoSpaceDN w:val="0"/>
        <w:adjustRightInd w:val="0"/>
        <w:spacing w:before="120" w:line="240" w:lineRule="auto"/>
        <w:rPr>
          <w:rFonts w:ascii="Book Antiqua" w:hAnsi="Book Antiqua"/>
          <w:szCs w:val="22"/>
          <w:lang w:val="en-GB"/>
        </w:rPr>
      </w:pPr>
      <w:r>
        <w:rPr>
          <w:rFonts w:ascii="Book Antiqua" w:hAnsi="Book Antiqua"/>
          <w:szCs w:val="22"/>
          <w:lang w:val="en-GB"/>
        </w:rPr>
        <w:t>Table 1. Details of Informants with an Anonymizer Code</w:t>
      </w:r>
    </w:p>
    <w:p w:rsidR="000F4686" w:rsidRDefault="00000000">
      <w:pPr>
        <w:widowControl w:val="0"/>
        <w:autoSpaceDE w:val="0"/>
        <w:autoSpaceDN w:val="0"/>
        <w:adjustRightInd w:val="0"/>
        <w:spacing w:before="120" w:line="240" w:lineRule="auto"/>
        <w:rPr>
          <w:rFonts w:ascii="Book Antiqua" w:hAnsi="Book Antiqua"/>
          <w:szCs w:val="22"/>
          <w:lang w:val="en-GB"/>
        </w:rPr>
      </w:pPr>
      <w:r>
        <w:rPr>
          <w:rFonts w:ascii="Book Antiqua" w:hAnsi="Book Antiqua"/>
          <w:noProof/>
          <w:szCs w:val="22"/>
          <w:lang w:val="en-GB"/>
        </w:rPr>
        <w:drawing>
          <wp:inline distT="0" distB="0" distL="0" distR="0">
            <wp:extent cx="2990850" cy="2098675"/>
            <wp:effectExtent l="0" t="0" r="0" b="0"/>
            <wp:docPr id="1058292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92913" name="Picture 1"/>
                    <pic:cNvPicPr>
                      <a:picLocks noChangeAspect="1"/>
                    </pic:cNvPicPr>
                  </pic:nvPicPr>
                  <pic:blipFill>
                    <a:blip r:embed="rId15"/>
                    <a:stretch>
                      <a:fillRect/>
                    </a:stretch>
                  </pic:blipFill>
                  <pic:spPr>
                    <a:xfrm>
                      <a:off x="0" y="0"/>
                      <a:ext cx="3001440" cy="2106274"/>
                    </a:xfrm>
                    <a:prstGeom prst="rect">
                      <a:avLst/>
                    </a:prstGeom>
                  </pic:spPr>
                </pic:pic>
              </a:graphicData>
            </a:graphic>
          </wp:inline>
        </w:drawing>
      </w:r>
    </w:p>
    <w:p w:rsidR="000F4686" w:rsidRDefault="000F4686">
      <w:pPr>
        <w:widowControl w:val="0"/>
        <w:autoSpaceDE w:val="0"/>
        <w:autoSpaceDN w:val="0"/>
        <w:adjustRightInd w:val="0"/>
        <w:spacing w:before="120" w:line="240" w:lineRule="auto"/>
        <w:rPr>
          <w:rFonts w:ascii="Book Antiqua" w:hAnsi="Book Antiqua"/>
          <w:szCs w:val="22"/>
          <w:lang w:val="en-GB"/>
        </w:rPr>
      </w:pPr>
    </w:p>
    <w:p w:rsidR="000F4686" w:rsidRDefault="00000000">
      <w:pPr>
        <w:widowControl w:val="0"/>
        <w:autoSpaceDE w:val="0"/>
        <w:autoSpaceDN w:val="0"/>
        <w:adjustRightInd w:val="0"/>
        <w:spacing w:before="120" w:line="240" w:lineRule="auto"/>
        <w:rPr>
          <w:rFonts w:ascii="Book Antiqua" w:hAnsi="Book Antiqua"/>
          <w:szCs w:val="22"/>
          <w:lang w:val="en-GB"/>
        </w:rPr>
      </w:pPr>
      <w:r>
        <w:rPr>
          <w:rFonts w:ascii="Book Antiqua" w:hAnsi="Book Antiqua"/>
          <w:szCs w:val="22"/>
          <w:lang w:val="en-GB"/>
        </w:rPr>
        <w:t>Thematic analysis was used in this study to extract themes from the socially constructed experience of resilience and adaptation among women involved in tourism activities and their spouses. The qualitative research method allows the researchers to be subjective in their interpretation and meaning-making of the data. The researchers analysed the collected data by transcription, coding, and identification of main themes as overarching conceptual patterns that emerged (Braun &amp; Clarke, 2019). The researchers coded the data set after transcription, which involved identifying recurring patterns in the data set. The analysis was then carried on with the assistance of second coding, which extracted the main themes as well as significant patterns.</w:t>
      </w:r>
    </w:p>
    <w:p w:rsidR="000F4686" w:rsidRDefault="00000000">
      <w:pPr>
        <w:pStyle w:val="Heading1"/>
        <w:numPr>
          <w:ilvl w:val="0"/>
          <w:numId w:val="0"/>
        </w:numPr>
        <w:rPr>
          <w:rFonts w:ascii="Book Antiqua" w:hAnsi="Book Antiqua"/>
          <w:szCs w:val="22"/>
          <w:lang w:val="en-GB" w:eastAsia="ja-JP"/>
        </w:rPr>
      </w:pPr>
      <w:r>
        <w:rPr>
          <w:rFonts w:ascii="Book Antiqua" w:hAnsi="Book Antiqua" w:cs="Arial"/>
          <w:sz w:val="20"/>
          <w:szCs w:val="20"/>
          <w:lang w:val="en-GB"/>
        </w:rPr>
        <w:t>RESULTS AND DISCUSSION</w:t>
      </w:r>
    </w:p>
    <w:p w:rsidR="000F4686" w:rsidRDefault="00000000">
      <w:pPr>
        <w:pStyle w:val="Heading1"/>
        <w:numPr>
          <w:ilvl w:val="0"/>
          <w:numId w:val="0"/>
        </w:numPr>
        <w:spacing w:before="120" w:after="0" w:line="240" w:lineRule="auto"/>
        <w:ind w:left="360" w:hanging="360"/>
        <w:jc w:val="both"/>
        <w:rPr>
          <w:rFonts w:ascii="Book Antiqua" w:hAnsi="Book Antiqua" w:cs="Arial"/>
          <w:b w:val="0"/>
          <w:color w:val="C00000"/>
          <w:sz w:val="22"/>
          <w:szCs w:val="22"/>
          <w:lang w:val="en-GB"/>
        </w:rPr>
      </w:pPr>
      <w:r>
        <w:rPr>
          <w:rFonts w:ascii="Book Antiqua" w:hAnsi="Book Antiqua"/>
          <w:b w:val="0"/>
          <w:color w:val="C00000"/>
          <w:sz w:val="22"/>
          <w:szCs w:val="22"/>
          <w:lang w:val="en-GB"/>
        </w:rPr>
        <w:t xml:space="preserve">1. The experiences of female tourism workers amid the COVID-19 pandemic </w:t>
      </w:r>
    </w:p>
    <w:p w:rsidR="000F4686" w:rsidRDefault="00000000">
      <w:pPr>
        <w:keepNext/>
        <w:framePr w:dropCap="drop" w:lines="3" w:wrap="around" w:vAnchor="text" w:hAnchor="text"/>
        <w:spacing w:before="120" w:line="651" w:lineRule="exact"/>
        <w:textAlignment w:val="baseline"/>
        <w:rPr>
          <w:rFonts w:ascii="Book Antiqua" w:hAnsi="Book Antiqua"/>
          <w:position w:val="-8"/>
          <w:sz w:val="80"/>
          <w:szCs w:val="22"/>
          <w:lang w:val="en-GB"/>
        </w:rPr>
      </w:pPr>
      <w:r>
        <w:rPr>
          <w:rFonts w:ascii="Book Antiqua" w:hAnsi="Book Antiqua"/>
          <w:position w:val="-8"/>
          <w:sz w:val="80"/>
          <w:szCs w:val="22"/>
          <w:lang w:val="en-GB"/>
        </w:rPr>
        <w:t>D</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uring the COVID-19 pandemic,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which is run by women, became the only work/business unit in the tourism sector that survived in </w:t>
      </w:r>
      <w:proofErr w:type="spellStart"/>
      <w:r>
        <w:rPr>
          <w:rFonts w:ascii="Book Antiqua" w:hAnsi="Book Antiqua"/>
          <w:szCs w:val="22"/>
          <w:lang w:val="en-GB"/>
        </w:rPr>
        <w:t>Nglanggeran</w:t>
      </w:r>
      <w:proofErr w:type="spellEnd"/>
      <w:r>
        <w:rPr>
          <w:rFonts w:ascii="Book Antiqua" w:hAnsi="Book Antiqua"/>
          <w:szCs w:val="22"/>
          <w:lang w:val="en-GB"/>
        </w:rPr>
        <w:t xml:space="preserve"> Tourism Village. Despite travel restrictions, it continued to operate and routinely produce during the pandemic. Looking back, women have been involved in tourism implementation in the </w:t>
      </w:r>
      <w:proofErr w:type="spellStart"/>
      <w:r>
        <w:rPr>
          <w:rFonts w:ascii="Book Antiqua" w:hAnsi="Book Antiqua"/>
          <w:szCs w:val="22"/>
          <w:lang w:val="en-GB"/>
        </w:rPr>
        <w:t>Nglanggeran</w:t>
      </w:r>
      <w:proofErr w:type="spellEnd"/>
      <w:r>
        <w:rPr>
          <w:rFonts w:ascii="Book Antiqua" w:hAnsi="Book Antiqua"/>
          <w:szCs w:val="22"/>
          <w:lang w:val="en-GB"/>
        </w:rPr>
        <w:t xml:space="preserve"> Tourism Village since its inception. Initially, the women in the </w:t>
      </w:r>
      <w:proofErr w:type="spellStart"/>
      <w:r>
        <w:rPr>
          <w:rFonts w:ascii="Book Antiqua" w:hAnsi="Book Antiqua"/>
          <w:szCs w:val="22"/>
          <w:lang w:val="en-GB"/>
        </w:rPr>
        <w:t>Purba</w:t>
      </w:r>
      <w:proofErr w:type="spellEnd"/>
      <w:r>
        <w:rPr>
          <w:rFonts w:ascii="Book Antiqua" w:hAnsi="Book Antiqua"/>
          <w:szCs w:val="22"/>
          <w:lang w:val="en-GB"/>
        </w:rPr>
        <w:t xml:space="preserve"> Rasa Group were tasked with meeting the consumption needs of tourists who come to the area to </w:t>
      </w:r>
      <w:r>
        <w:rPr>
          <w:rFonts w:ascii="Book Antiqua" w:hAnsi="Book Antiqua"/>
          <w:szCs w:val="22"/>
          <w:lang w:val="en-GB"/>
        </w:rPr>
        <w:lastRenderedPageBreak/>
        <w:t>participate in tourism activities. Not only that, but they were also involved in other tourism activities such as managing homestays, outbound activities, and chocolate production.</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Women’s activities were gradually institutionalized into a work unit in the tourism sector known as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This business unit was created as a result of the cocoa commodity downstream program, which was funded by Bank Indonesia’s Corporate Social Responsibility (CSR). The program then developed into an embryo that gave birth to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which produced cocoa from farmer groups. In 2014-2016, the results of CSR assistance from Bank Indonesia, Indonesia’s central bank, totalled around 300 million IDR to support the development of business units led by women’s groups. Aside from financial assistance, various forms of training were provided to improve skills and innovation in the production of chocolate products (personal communication with SH, Business Manager of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and Former Chairman of </w:t>
      </w:r>
      <w:proofErr w:type="spellStart"/>
      <w:r>
        <w:rPr>
          <w:rFonts w:ascii="Book Antiqua" w:hAnsi="Book Antiqua"/>
          <w:szCs w:val="22"/>
          <w:lang w:val="en-GB"/>
        </w:rPr>
        <w:t>Pokdarwis</w:t>
      </w:r>
      <w:proofErr w:type="spellEnd"/>
      <w:r>
        <w:rPr>
          <w:rFonts w:ascii="Book Antiqua" w:hAnsi="Book Antiqua"/>
          <w:szCs w:val="22"/>
          <w:lang w:val="en-GB"/>
        </w:rPr>
        <w:t xml:space="preserve"> </w:t>
      </w:r>
      <w:proofErr w:type="spellStart"/>
      <w:r>
        <w:rPr>
          <w:rFonts w:ascii="Book Antiqua" w:hAnsi="Book Antiqua"/>
          <w:szCs w:val="22"/>
          <w:lang w:val="en-GB"/>
        </w:rPr>
        <w:t>Nglanggeran</w:t>
      </w:r>
      <w:proofErr w:type="spellEnd"/>
      <w:r>
        <w:rPr>
          <w:rFonts w:ascii="Book Antiqua" w:hAnsi="Book Antiqua"/>
          <w:szCs w:val="22"/>
          <w:lang w:val="en-GB"/>
        </w:rPr>
        <w:t xml:space="preserve">, June and August 2021). </w:t>
      </w: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At this time,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comprises a total of fifteen members, all of them are female, save for one manager who is male. Groups have been formed for each of these women in accordance with their respective responsibilities. The work division of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is comprised of two primary sectors: the cocoa powder division and the finished products division. Eleven individuals are responsible for processing the finished product, whilst four individuals oversee the production of cocoa powder. The final goods include, among others, chocolate bars, chocolate bananas, chocolate drinks, and chocolate taffy (Figure 3).</w:t>
      </w:r>
    </w:p>
    <w:p w:rsidR="000F4686" w:rsidRDefault="00000000">
      <w:pPr>
        <w:spacing w:before="120" w:line="240" w:lineRule="auto"/>
        <w:rPr>
          <w:rFonts w:ascii="Book Antiqua" w:hAnsi="Book Antiqua"/>
          <w:szCs w:val="22"/>
          <w:lang w:val="en-GB"/>
        </w:rPr>
      </w:pP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obtains all of the raw materials for its chocolate products from nearby farms. Their cocoa beans are transmitted through intermediaries who are also </w:t>
      </w:r>
      <w:proofErr w:type="spellStart"/>
      <w:r>
        <w:rPr>
          <w:rFonts w:ascii="Book Antiqua" w:hAnsi="Book Antiqua"/>
          <w:szCs w:val="22"/>
          <w:lang w:val="en-GB"/>
        </w:rPr>
        <w:t>Nglanggeran</w:t>
      </w:r>
      <w:proofErr w:type="spellEnd"/>
      <w:r>
        <w:rPr>
          <w:rFonts w:ascii="Book Antiqua" w:hAnsi="Book Antiqua"/>
          <w:szCs w:val="22"/>
          <w:lang w:val="en-GB"/>
        </w:rPr>
        <w:t xml:space="preserve"> farming group members. Afterward, the farmer collective implements the drying and fermentation processes. At that stage, the cocoa beans are deemed suitable for processing into chocolate powder. The historical discourse surrounding cocoa cultivation practices in </w:t>
      </w:r>
      <w:proofErr w:type="spellStart"/>
      <w:r>
        <w:rPr>
          <w:rFonts w:ascii="Book Antiqua" w:hAnsi="Book Antiqua"/>
          <w:szCs w:val="22"/>
          <w:lang w:val="en-GB"/>
        </w:rPr>
        <w:t>Nglanggeran</w:t>
      </w:r>
      <w:proofErr w:type="spellEnd"/>
      <w:r>
        <w:rPr>
          <w:rFonts w:ascii="Book Antiqua" w:hAnsi="Book Antiqua"/>
          <w:szCs w:val="22"/>
          <w:lang w:val="en-GB"/>
        </w:rPr>
        <w:t xml:space="preserve"> dates back to the 1980s. Government activities were responsible for the introduction of a number of valued commodities, notably cocoa, to </w:t>
      </w:r>
      <w:proofErr w:type="spellStart"/>
      <w:r>
        <w:rPr>
          <w:rFonts w:ascii="Book Antiqua" w:hAnsi="Book Antiqua"/>
          <w:szCs w:val="22"/>
          <w:lang w:val="en-GB"/>
        </w:rPr>
        <w:t>Nglanggeran</w:t>
      </w:r>
      <w:proofErr w:type="spellEnd"/>
      <w:r>
        <w:rPr>
          <w:rFonts w:ascii="Book Antiqua" w:hAnsi="Book Antiqua"/>
          <w:szCs w:val="22"/>
          <w:lang w:val="en-GB"/>
        </w:rPr>
        <w:t xml:space="preserve"> (</w:t>
      </w:r>
      <w:proofErr w:type="spellStart"/>
      <w:r>
        <w:rPr>
          <w:rFonts w:ascii="Book Antiqua" w:hAnsi="Book Antiqua"/>
          <w:szCs w:val="22"/>
          <w:lang w:val="en-GB"/>
        </w:rPr>
        <w:t>Persada</w:t>
      </w:r>
      <w:proofErr w:type="spellEnd"/>
      <w:r>
        <w:rPr>
          <w:rFonts w:ascii="Book Antiqua" w:hAnsi="Book Antiqua"/>
          <w:szCs w:val="22"/>
          <w:lang w:val="en-GB"/>
        </w:rPr>
        <w:t xml:space="preserve"> &amp; Aji, 2021). However, it is important to note that the cocoa cultivation technique in </w:t>
      </w:r>
      <w:proofErr w:type="spellStart"/>
      <w:r>
        <w:rPr>
          <w:rFonts w:ascii="Book Antiqua" w:hAnsi="Book Antiqua"/>
          <w:szCs w:val="22"/>
          <w:lang w:val="en-GB"/>
        </w:rPr>
        <w:t>Nglanggeran</w:t>
      </w:r>
      <w:proofErr w:type="spellEnd"/>
      <w:r>
        <w:rPr>
          <w:rFonts w:ascii="Book Antiqua" w:hAnsi="Book Antiqua"/>
          <w:szCs w:val="22"/>
          <w:lang w:val="en-GB"/>
        </w:rPr>
        <w:t xml:space="preserve"> is regulated at the household level, not on a big scale, as part of the development.</w:t>
      </w:r>
    </w:p>
    <w:p w:rsidR="000F4686" w:rsidRDefault="000F4686">
      <w:pPr>
        <w:spacing w:line="240" w:lineRule="auto"/>
        <w:rPr>
          <w:rFonts w:ascii="Book Antiqua" w:hAnsi="Book Antiqua"/>
          <w:szCs w:val="22"/>
          <w:lang w:val="en-GB"/>
        </w:rPr>
      </w:pPr>
    </w:p>
    <w:p w:rsidR="000F4686" w:rsidRDefault="00000000">
      <w:pPr>
        <w:spacing w:line="240" w:lineRule="auto"/>
        <w:rPr>
          <w:rFonts w:ascii="Book Antiqua" w:hAnsi="Book Antiqua"/>
          <w:szCs w:val="22"/>
          <w:lang w:val="en-GB"/>
        </w:rPr>
      </w:pPr>
      <w:r>
        <w:rPr>
          <w:rFonts w:ascii="Book Antiqua" w:hAnsi="Book Antiqua"/>
          <w:szCs w:val="22"/>
          <w:lang w:val="en-GB"/>
        </w:rPr>
        <w:t xml:space="preserve">Figure 3. Various chocolate end products produced by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w:t>
      </w:r>
      <w:proofErr w:type="spellStart"/>
      <w:r>
        <w:rPr>
          <w:rFonts w:ascii="Book Antiqua" w:hAnsi="Book Antiqua"/>
          <w:szCs w:val="22"/>
          <w:lang w:val="en-GB"/>
        </w:rPr>
        <w:t>Nglanggeran</w:t>
      </w:r>
      <w:proofErr w:type="spellEnd"/>
      <w:r>
        <w:rPr>
          <w:rFonts w:ascii="Book Antiqua" w:hAnsi="Book Antiqua"/>
          <w:szCs w:val="22"/>
          <w:lang w:val="en-GB"/>
        </w:rPr>
        <w:t xml:space="preserve"> Tourism Village</w:t>
      </w:r>
    </w:p>
    <w:p w:rsidR="000F4686" w:rsidRDefault="000F4686">
      <w:pPr>
        <w:spacing w:line="240" w:lineRule="auto"/>
        <w:rPr>
          <w:rFonts w:ascii="Book Antiqua" w:hAnsi="Book Antiqua"/>
          <w:szCs w:val="22"/>
          <w:lang w:val="en-GB"/>
        </w:rPr>
      </w:pPr>
    </w:p>
    <w:p w:rsidR="000F4686" w:rsidRDefault="00000000">
      <w:pPr>
        <w:spacing w:before="120" w:line="240" w:lineRule="auto"/>
        <w:rPr>
          <w:rFonts w:ascii="Book Antiqua" w:hAnsi="Book Antiqua"/>
          <w:szCs w:val="22"/>
          <w:lang w:val="en-GB"/>
        </w:rPr>
      </w:pPr>
      <w:r>
        <w:rPr>
          <w:rFonts w:ascii="Book Antiqua" w:hAnsi="Book Antiqua"/>
          <w:szCs w:val="22"/>
          <w:lang w:val="en-GB"/>
        </w:rPr>
        <w:t xml:space="preserve">  </w:t>
      </w:r>
      <w:r>
        <w:rPr>
          <w:rFonts w:ascii="Book Antiqua" w:hAnsi="Book Antiqua"/>
          <w:noProof/>
          <w:szCs w:val="22"/>
          <w:lang w:val="en-GB"/>
        </w:rPr>
        <w:drawing>
          <wp:inline distT="0" distB="0" distL="0" distR="0">
            <wp:extent cx="1395730" cy="994410"/>
            <wp:effectExtent l="0" t="0" r="0" b="0"/>
            <wp:docPr id="258206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06891" name="Picture 1"/>
                    <pic:cNvPicPr>
                      <a:picLocks noChangeAspect="1"/>
                    </pic:cNvPicPr>
                  </pic:nvPicPr>
                  <pic:blipFill>
                    <a:blip r:embed="rId16"/>
                    <a:stretch>
                      <a:fillRect/>
                    </a:stretch>
                  </pic:blipFill>
                  <pic:spPr>
                    <a:xfrm>
                      <a:off x="0" y="0"/>
                      <a:ext cx="1474998" cy="1051498"/>
                    </a:xfrm>
                    <a:prstGeom prst="rect">
                      <a:avLst/>
                    </a:prstGeom>
                  </pic:spPr>
                </pic:pic>
              </a:graphicData>
            </a:graphic>
          </wp:inline>
        </w:drawing>
      </w:r>
      <w:r>
        <w:rPr>
          <w:rFonts w:ascii="Book Antiqua" w:hAnsi="Book Antiqua"/>
          <w:szCs w:val="22"/>
          <w:lang w:val="en-GB"/>
        </w:rPr>
        <w:t xml:space="preserve">  </w:t>
      </w:r>
      <w:r>
        <w:rPr>
          <w:rFonts w:ascii="Book Antiqua" w:hAnsi="Book Antiqua"/>
          <w:noProof/>
          <w:szCs w:val="22"/>
          <w:lang w:val="en-GB"/>
        </w:rPr>
        <w:drawing>
          <wp:inline distT="0" distB="0" distL="0" distR="0">
            <wp:extent cx="1380490" cy="984885"/>
            <wp:effectExtent l="0" t="0" r="0" b="0"/>
            <wp:docPr id="1780273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3498" name="Picture 1"/>
                    <pic:cNvPicPr>
                      <a:picLocks noChangeAspect="1"/>
                    </pic:cNvPicPr>
                  </pic:nvPicPr>
                  <pic:blipFill>
                    <a:blip r:embed="rId17"/>
                    <a:stretch>
                      <a:fillRect/>
                    </a:stretch>
                  </pic:blipFill>
                  <pic:spPr>
                    <a:xfrm>
                      <a:off x="0" y="0"/>
                      <a:ext cx="1441043" cy="1028215"/>
                    </a:xfrm>
                    <a:prstGeom prst="rect">
                      <a:avLst/>
                    </a:prstGeom>
                  </pic:spPr>
                </pic:pic>
              </a:graphicData>
            </a:graphic>
          </wp:inline>
        </w:drawing>
      </w:r>
    </w:p>
    <w:p w:rsidR="000F4686" w:rsidRDefault="00000000">
      <w:pPr>
        <w:spacing w:before="120" w:line="240" w:lineRule="auto"/>
        <w:rPr>
          <w:rFonts w:ascii="Book Antiqua" w:hAnsi="Book Antiqua"/>
          <w:szCs w:val="22"/>
          <w:lang w:val="en-GB"/>
        </w:rPr>
      </w:pPr>
      <w:r>
        <w:rPr>
          <w:rFonts w:ascii="Book Antiqua" w:hAnsi="Book Antiqua"/>
          <w:szCs w:val="22"/>
          <w:lang w:val="en-GB"/>
        </w:rPr>
        <w:t>(Source: Authors, 2022)</w:t>
      </w:r>
    </w:p>
    <w:p w:rsidR="000F4686" w:rsidRDefault="00000000">
      <w:pPr>
        <w:pStyle w:val="Heading1"/>
        <w:numPr>
          <w:ilvl w:val="0"/>
          <w:numId w:val="3"/>
        </w:numPr>
        <w:spacing w:before="120" w:after="0" w:line="240" w:lineRule="auto"/>
        <w:jc w:val="both"/>
        <w:rPr>
          <w:rFonts w:ascii="Book Antiqua" w:hAnsi="Book Antiqua" w:cs="Arial"/>
          <w:b w:val="0"/>
          <w:color w:val="C00000"/>
          <w:sz w:val="22"/>
          <w:szCs w:val="22"/>
          <w:lang w:val="en-GB"/>
        </w:rPr>
      </w:pPr>
      <w:r>
        <w:rPr>
          <w:rFonts w:ascii="Book Antiqua" w:hAnsi="Book Antiqua"/>
          <w:b w:val="0"/>
          <w:color w:val="C00000"/>
          <w:sz w:val="22"/>
          <w:szCs w:val="22"/>
          <w:lang w:val="en-GB"/>
        </w:rPr>
        <w:t xml:space="preserve">Women-led work unit contribution to the resilience initiatives </w:t>
      </w:r>
    </w:p>
    <w:p w:rsidR="000F4686" w:rsidRDefault="00000000">
      <w:pPr>
        <w:keepNext/>
        <w:framePr w:dropCap="drop" w:lines="3" w:wrap="around" w:vAnchor="text" w:hAnchor="text"/>
        <w:spacing w:line="651" w:lineRule="exact"/>
        <w:textAlignment w:val="baseline"/>
        <w:rPr>
          <w:rFonts w:ascii="Book Antiqua" w:hAnsi="Book Antiqua"/>
          <w:position w:val="-8"/>
          <w:sz w:val="80"/>
          <w:szCs w:val="18"/>
          <w:lang w:val="en-GB"/>
        </w:rPr>
      </w:pPr>
      <w:r>
        <w:rPr>
          <w:rFonts w:ascii="Book Antiqua" w:hAnsi="Book Antiqua"/>
          <w:position w:val="-8"/>
          <w:sz w:val="80"/>
          <w:szCs w:val="18"/>
          <w:lang w:val="en-GB"/>
        </w:rPr>
        <w:t>D</w:t>
      </w:r>
    </w:p>
    <w:p w:rsidR="000F4686" w:rsidRDefault="00000000">
      <w:pPr>
        <w:spacing w:after="240" w:line="240" w:lineRule="auto"/>
        <w:rPr>
          <w:rFonts w:ascii="Book Antiqua" w:hAnsi="Book Antiqua"/>
          <w:szCs w:val="18"/>
          <w:lang w:val="en-GB"/>
        </w:rPr>
      </w:pPr>
      <w:r>
        <w:rPr>
          <w:rFonts w:ascii="Book Antiqua" w:hAnsi="Book Antiqua"/>
          <w:szCs w:val="18"/>
          <w:lang w:val="en-GB"/>
        </w:rPr>
        <w:t xml:space="preserve">espite being the only operational business unit in the </w:t>
      </w:r>
      <w:proofErr w:type="spellStart"/>
      <w:r>
        <w:rPr>
          <w:rFonts w:ascii="Book Antiqua" w:hAnsi="Book Antiqua"/>
          <w:szCs w:val="18"/>
          <w:lang w:val="en-GB"/>
        </w:rPr>
        <w:t>Nglanggeran</w:t>
      </w:r>
      <w:proofErr w:type="spellEnd"/>
      <w:r>
        <w:rPr>
          <w:rFonts w:ascii="Book Antiqua" w:hAnsi="Book Antiqua"/>
          <w:szCs w:val="18"/>
          <w:lang w:val="en-GB"/>
        </w:rPr>
        <w:t xml:space="preserve"> Tourism Village,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was adversely affected by the pandemic and saw a significant decline in revenue. Prior to the onset of the COVID-19 pandemic, the anticipated monthly revenue of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was between 50 and 60 million IDR. Amidst the pandemic,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experienced a decline in its monthly revenue to approximately 7-8 million IDR, which accounted for a just 14 percent of its typical pre-pandemic turnover. The employees' wages were directly influenced by the decrease in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Cokelat’s</w:t>
      </w:r>
      <w:proofErr w:type="spellEnd"/>
      <w:r>
        <w:rPr>
          <w:rFonts w:ascii="Book Antiqua" w:hAnsi="Book Antiqua"/>
          <w:szCs w:val="18"/>
          <w:lang w:val="en-GB"/>
        </w:rPr>
        <w:t xml:space="preserve"> income. Before the COVID-19 pandemic, the daily wage for the female employees at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was 50,000 IDR (3.47 USD). Nevertheless, as a consequence of the reduced business volume caused by the pandemic, the workers’ daily wage dropped to Rp. 40,000 (2.77 USD).</w:t>
      </w:r>
    </w:p>
    <w:p w:rsidR="000F4686" w:rsidRDefault="00000000">
      <w:pPr>
        <w:spacing w:after="240" w:line="240" w:lineRule="auto"/>
        <w:rPr>
          <w:rFonts w:ascii="Book Antiqua" w:hAnsi="Book Antiqua"/>
          <w:szCs w:val="18"/>
          <w:lang w:val="en-GB"/>
        </w:rPr>
      </w:pPr>
      <w:r>
        <w:rPr>
          <w:rFonts w:ascii="Book Antiqua" w:hAnsi="Book Antiqua"/>
          <w:szCs w:val="18"/>
          <w:lang w:val="en-GB"/>
        </w:rPr>
        <w:t xml:space="preserve">The subsequent consequence of the epidemic was that the female employees of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were unable to perform their duties consistently. Due to a decrease in product sales compared to pre-pandemic levels, chocolate processing production operations were not conducted on a daily basis. In order to meet daily production needs, a mere two to five employees reported to their posts. Consequently, a shift system was implemented to ensure that the workdays of the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women were alternatively planned. This circumstance was in contrast to the pre-pandemic situation at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wherein every employee was afforded the option to report to work and receive daily compensation. The daily payroll system utilized by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was proportional in value to the cash received. Correspondingly, the more the frequency of attendance at work, the greater the pay of these female employees. Furthermore, the COVID-19 pandemic subsequently altered the sales strategy of chocolate processed goods. Before the onset of the pandemic, the proprietors of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predominantly dealt with tourists who frequented </w:t>
      </w:r>
      <w:proofErr w:type="spellStart"/>
      <w:r>
        <w:rPr>
          <w:rFonts w:ascii="Book Antiqua" w:hAnsi="Book Antiqua"/>
          <w:szCs w:val="18"/>
          <w:lang w:val="en-GB"/>
        </w:rPr>
        <w:t>Nglanggeran</w:t>
      </w:r>
      <w:proofErr w:type="spellEnd"/>
      <w:r>
        <w:rPr>
          <w:rFonts w:ascii="Book Antiqua" w:hAnsi="Book Antiqua"/>
          <w:szCs w:val="18"/>
          <w:lang w:val="en-GB"/>
        </w:rPr>
        <w:t xml:space="preserve"> and patronized the establishment through direct sales. However, with the decline in tourist numbers and the imposition of limits on human mobility and contact, they altered their sales approach to emphasize digital channels for indirect marketing. Thus far, the manager of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has endeavoured to establish a digital sales ecosystem by using social media platforms, namely Instagram, Facebook, and WhatsApp, and online market place like Tokopedia (Figure 4).</w:t>
      </w:r>
    </w:p>
    <w:p w:rsidR="000F4686" w:rsidRDefault="00000000">
      <w:pPr>
        <w:spacing w:line="240" w:lineRule="auto"/>
        <w:rPr>
          <w:rFonts w:ascii="Book Antiqua" w:hAnsi="Book Antiqua"/>
          <w:szCs w:val="22"/>
          <w:lang w:val="en-GB"/>
        </w:rPr>
      </w:pPr>
      <w:r>
        <w:rPr>
          <w:rFonts w:ascii="Book Antiqua" w:hAnsi="Book Antiqua"/>
          <w:szCs w:val="22"/>
          <w:lang w:val="en-GB"/>
        </w:rPr>
        <w:t xml:space="preserve">Figure 4. Online market for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Coklat</w:t>
      </w:r>
      <w:proofErr w:type="spellEnd"/>
    </w:p>
    <w:p w:rsidR="000F4686" w:rsidRDefault="000F4686">
      <w:pPr>
        <w:spacing w:line="240" w:lineRule="auto"/>
        <w:rPr>
          <w:rFonts w:ascii="Book Antiqua" w:hAnsi="Book Antiqua"/>
          <w:szCs w:val="22"/>
          <w:lang w:val="en-GB"/>
        </w:rPr>
      </w:pPr>
    </w:p>
    <w:p w:rsidR="000F4686" w:rsidRDefault="00000000">
      <w:pPr>
        <w:spacing w:after="240" w:line="240" w:lineRule="auto"/>
        <w:rPr>
          <w:rFonts w:ascii="Book Antiqua" w:hAnsi="Book Antiqua"/>
          <w:szCs w:val="18"/>
          <w:lang w:val="en-GB"/>
        </w:rPr>
      </w:pPr>
      <w:r>
        <w:rPr>
          <w:rFonts w:ascii="Book Antiqua" w:hAnsi="Book Antiqua"/>
          <w:noProof/>
          <w:szCs w:val="18"/>
          <w:lang w:val="en-GB"/>
        </w:rPr>
        <w:drawing>
          <wp:inline distT="0" distB="0" distL="0" distR="0">
            <wp:extent cx="2967990" cy="1469390"/>
            <wp:effectExtent l="0" t="0" r="3810" b="3810"/>
            <wp:docPr id="1105565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65869"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67990" cy="1469390"/>
                    </a:xfrm>
                    <a:prstGeom prst="rect">
                      <a:avLst/>
                    </a:prstGeom>
                  </pic:spPr>
                </pic:pic>
              </a:graphicData>
            </a:graphic>
          </wp:inline>
        </w:drawing>
      </w:r>
    </w:p>
    <w:p w:rsidR="000F4686" w:rsidRDefault="00000000">
      <w:pPr>
        <w:spacing w:after="240" w:line="240" w:lineRule="auto"/>
        <w:rPr>
          <w:rFonts w:ascii="Book Antiqua" w:hAnsi="Book Antiqua"/>
          <w:szCs w:val="18"/>
          <w:lang w:val="en-GB"/>
        </w:rPr>
      </w:pPr>
      <w:r>
        <w:rPr>
          <w:rFonts w:ascii="Book Antiqua" w:hAnsi="Book Antiqua"/>
          <w:szCs w:val="18"/>
          <w:lang w:val="en-GB"/>
        </w:rPr>
        <w:t xml:space="preserve">(Source: </w:t>
      </w:r>
      <w:hyperlink r:id="rId19" w:history="1">
        <w:r>
          <w:rPr>
            <w:rStyle w:val="Hyperlink"/>
            <w:rFonts w:ascii="Book Antiqua" w:hAnsi="Book Antiqua"/>
            <w:szCs w:val="18"/>
            <w:lang w:val="en-GB"/>
          </w:rPr>
          <w:t>https://www.tokopedia.com/griyacokelat</w:t>
        </w:r>
      </w:hyperlink>
      <w:r>
        <w:rPr>
          <w:rFonts w:ascii="Book Antiqua" w:hAnsi="Book Antiqua"/>
          <w:szCs w:val="18"/>
          <w:lang w:val="en-GB"/>
        </w:rPr>
        <w:t>, accessed on 25 February 2024)</w:t>
      </w:r>
    </w:p>
    <w:p w:rsidR="000F4686" w:rsidRDefault="00000000">
      <w:pPr>
        <w:spacing w:after="240" w:line="240" w:lineRule="auto"/>
        <w:rPr>
          <w:rFonts w:ascii="Book Antiqua" w:hAnsi="Book Antiqua"/>
          <w:szCs w:val="18"/>
          <w:lang w:val="en-GB"/>
        </w:rPr>
      </w:pPr>
      <w:r>
        <w:rPr>
          <w:rFonts w:ascii="Book Antiqua" w:hAnsi="Book Antiqua"/>
          <w:szCs w:val="18"/>
          <w:lang w:val="en-GB"/>
        </w:rPr>
        <w:lastRenderedPageBreak/>
        <w:t xml:space="preserve">Despite the manifold negative consequences of the pandemic, particularly for the female staff of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they argue that there are still benefits to be obtained in the midst of adversity. This viewpoint concerns the time that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employees have at their disposal to adapt and improve their current skills as a result of the decreased volume of production and sales activities in comparison to levels prior to the epidemic. As stated in the following statement issued by the Head of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Cokelat's</w:t>
      </w:r>
      <w:proofErr w:type="spellEnd"/>
      <w:r>
        <w:rPr>
          <w:rFonts w:ascii="Book Antiqua" w:hAnsi="Book Antiqua"/>
          <w:szCs w:val="18"/>
          <w:lang w:val="en-GB"/>
        </w:rPr>
        <w:t xml:space="preserve"> Finance Department:</w:t>
      </w:r>
    </w:p>
    <w:p w:rsidR="000F4686" w:rsidRDefault="00000000">
      <w:pPr>
        <w:spacing w:after="240" w:line="240" w:lineRule="auto"/>
        <w:ind w:left="567"/>
        <w:rPr>
          <w:rFonts w:ascii="Book Antiqua" w:hAnsi="Book Antiqua"/>
          <w:szCs w:val="18"/>
          <w:lang w:val="en-GB"/>
        </w:rPr>
      </w:pPr>
      <w:r>
        <w:rPr>
          <w:rFonts w:ascii="Book Antiqua" w:hAnsi="Book Antiqua"/>
          <w:szCs w:val="18"/>
          <w:lang w:val="en-GB"/>
        </w:rPr>
        <w:t>“However, there is a silver lining to this pandemic. Because we can now better adapt and develop ourselves to manage digital platforms. We didn’t have time before the pandemic. We’ve been extremely busy with the production and sale of chocolate (directly), which can last until late at night. Because tourists do not only visit during our business hours (09.00-16.00). Even if it’s a little perplexing at first because, to be honest, we’re not used to selling online. Tourists frequently visit here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and we continue to serve them. We can immediately offer chocolate products and persuade customers to buy them in person. It is different when you go online or use social media. Because the language is different, our response must be different as well. The point is that you can’t get as close to customers as you can when you meet them face to face. That is what initially perplexed us. But, yes, we continue to move forward because this [product sales and marketing] model is the most viable during the pandemic” (personal communication with Sur, August 2021).</w:t>
      </w:r>
    </w:p>
    <w:p w:rsidR="000F4686" w:rsidRDefault="00000000">
      <w:pPr>
        <w:spacing w:after="240" w:line="240" w:lineRule="auto"/>
        <w:rPr>
          <w:rFonts w:ascii="Book Antiqua" w:hAnsi="Book Antiqua"/>
          <w:szCs w:val="18"/>
          <w:lang w:val="en-GB"/>
        </w:rPr>
      </w:pPr>
      <w:r>
        <w:rPr>
          <w:rFonts w:ascii="Book Antiqua" w:hAnsi="Book Antiqua"/>
          <w:szCs w:val="18"/>
          <w:lang w:val="en-GB"/>
        </w:rPr>
        <w:t xml:space="preserve">Furthermore, it is evident from the preceding remark that during the pandemic, efforts were being made to establish and develop sales distribution channels and potentially market products. Although not specifically mentioned, it is evident that their lack of confidence stemmed from their unfamiliarity with indirect marketing; still, they were compelled to confront this obstacle. In contrast,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seemed to receive a sigh of relief when Bank Indonesia regarded its endeavours to offer chocolate products for sale to consumers on the internet as an instance of innovation. Through its CSR initiative, Bank Indonesia subsequently supported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Cokelat’s</w:t>
      </w:r>
      <w:proofErr w:type="spellEnd"/>
      <w:r>
        <w:rPr>
          <w:rFonts w:ascii="Book Antiqua" w:hAnsi="Book Antiqua"/>
          <w:szCs w:val="18"/>
          <w:lang w:val="en-GB"/>
        </w:rPr>
        <w:t xml:space="preserve"> practice of selling items indirectly throughout the pandemic. Accordingly, in 2021,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goods were able to reach the export market via a pilot project selling to the Singapore market, despite a decline in local market sales. The women who are employed at </w:t>
      </w:r>
      <w:proofErr w:type="spellStart"/>
      <w:r>
        <w:rPr>
          <w:rFonts w:ascii="Book Antiqua" w:hAnsi="Book Antiqua"/>
          <w:szCs w:val="18"/>
          <w:lang w:val="en-GB"/>
        </w:rPr>
        <w:t>Griya</w:t>
      </w:r>
      <w:proofErr w:type="spellEnd"/>
      <w:r>
        <w:rPr>
          <w:rFonts w:ascii="Book Antiqua" w:hAnsi="Book Antiqua"/>
          <w:szCs w:val="18"/>
          <w:lang w:val="en-GB"/>
        </w:rPr>
        <w:t xml:space="preserve"> Chocolate claim that this is an unanticipated development. They believed that their chocolate products were suitable solely for the local market, specifically tourists who were visiting the </w:t>
      </w:r>
      <w:proofErr w:type="spellStart"/>
      <w:r>
        <w:rPr>
          <w:rFonts w:ascii="Book Antiqua" w:hAnsi="Book Antiqua"/>
          <w:szCs w:val="18"/>
          <w:lang w:val="en-GB"/>
        </w:rPr>
        <w:t>Nglanggeran</w:t>
      </w:r>
      <w:proofErr w:type="spellEnd"/>
      <w:r>
        <w:rPr>
          <w:rFonts w:ascii="Book Antiqua" w:hAnsi="Book Antiqua"/>
          <w:szCs w:val="18"/>
          <w:lang w:val="en-GB"/>
        </w:rPr>
        <w:t xml:space="preserve"> Tourism Village. It transpired that their chocolate products might, in fact, infiltrate the international market during a pandemic-induced crisis. Nevertheless, the quantity of exports has not been optimized to their fullest potential due to the fact that not all items have reached the quality standards of foreign markets.</w:t>
      </w:r>
    </w:p>
    <w:p w:rsidR="000F4686" w:rsidRDefault="00000000">
      <w:pPr>
        <w:spacing w:after="240" w:line="240" w:lineRule="auto"/>
        <w:rPr>
          <w:rFonts w:ascii="Book Antiqua" w:hAnsi="Book Antiqua"/>
          <w:color w:val="C00000"/>
          <w:sz w:val="22"/>
          <w:szCs w:val="22"/>
          <w:lang w:val="en-GB"/>
        </w:rPr>
      </w:pPr>
      <w:r>
        <w:rPr>
          <w:rFonts w:ascii="Book Antiqua" w:hAnsi="Book Antiqua"/>
          <w:szCs w:val="18"/>
          <w:lang w:val="en-GB"/>
        </w:rPr>
        <w:t xml:space="preserve">It is possible to say that the diversification of activities led by women in </w:t>
      </w:r>
      <w:proofErr w:type="spellStart"/>
      <w:r>
        <w:rPr>
          <w:rFonts w:ascii="Book Antiqua" w:hAnsi="Book Antiqua"/>
          <w:szCs w:val="18"/>
          <w:lang w:val="en-GB"/>
        </w:rPr>
        <w:t>Nglanggeran</w:t>
      </w:r>
      <w:proofErr w:type="spellEnd"/>
      <w:r>
        <w:rPr>
          <w:rFonts w:ascii="Book Antiqua" w:hAnsi="Book Antiqua"/>
          <w:szCs w:val="18"/>
          <w:lang w:val="en-GB"/>
        </w:rPr>
        <w:t xml:space="preserve"> through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contributes to the economic resilience of the tourism industry, which is particularly susceptible to crises. </w:t>
      </w:r>
      <w:proofErr w:type="spellStart"/>
      <w:r>
        <w:rPr>
          <w:rFonts w:ascii="Book Antiqua" w:hAnsi="Book Antiqua"/>
          <w:szCs w:val="18"/>
          <w:lang w:val="en-GB"/>
        </w:rPr>
        <w:t>Griya</w:t>
      </w:r>
      <w:proofErr w:type="spellEnd"/>
      <w:r>
        <w:rPr>
          <w:rFonts w:ascii="Book Antiqua" w:hAnsi="Book Antiqua"/>
          <w:szCs w:val="18"/>
          <w:lang w:val="en-GB"/>
        </w:rPr>
        <w:t xml:space="preserve"> </w:t>
      </w:r>
      <w:proofErr w:type="spellStart"/>
      <w:r>
        <w:rPr>
          <w:rFonts w:ascii="Book Antiqua" w:hAnsi="Book Antiqua"/>
          <w:szCs w:val="18"/>
          <w:lang w:val="en-GB"/>
        </w:rPr>
        <w:t>Cokelat</w:t>
      </w:r>
      <w:proofErr w:type="spellEnd"/>
      <w:r>
        <w:rPr>
          <w:rFonts w:ascii="Book Antiqua" w:hAnsi="Book Antiqua"/>
          <w:szCs w:val="18"/>
          <w:lang w:val="en-GB"/>
        </w:rPr>
        <w:t xml:space="preserve"> demonstrated its ability to continue operations and </w:t>
      </w:r>
      <w:r>
        <w:rPr>
          <w:rFonts w:ascii="Book Antiqua" w:hAnsi="Book Antiqua"/>
          <w:szCs w:val="18"/>
          <w:lang w:val="en-GB"/>
        </w:rPr>
        <w:t>production, as well as adapt and innovate, by forming collaborations with partners, Bank Indonesia, and developing new online sales and marketing channels via digital platforms in accordance with the CSR program scheme. Moreover, when examined within the framework of tourism research, these results indicate that tourist offerings in the form of tangible products are more resilient during a COVID-19 pandemic than services-based tourism products. Tourism products that are in the form of goods that can be relocated and distributed have the capacity to endure and persist despite travel restrictions, as they can still be enjoyed. This stands in contrast to tourism products that are in the form of services, which are predominantly in-situ and demand tourists or consumers to physically visit a particular location. Clearly, this is challenging to accomplish in the midst of the COVID-19 pandemic, when individuals' mobility is severely restricted for health reasons (controlling the spread of the virus).</w:t>
      </w:r>
    </w:p>
    <w:p w:rsidR="000F4686" w:rsidRDefault="00000000">
      <w:pPr>
        <w:pStyle w:val="Heading1"/>
        <w:numPr>
          <w:ilvl w:val="0"/>
          <w:numId w:val="3"/>
        </w:numPr>
        <w:spacing w:before="120" w:after="0" w:line="240" w:lineRule="auto"/>
        <w:jc w:val="both"/>
        <w:rPr>
          <w:rFonts w:ascii="Book Antiqua" w:hAnsi="Book Antiqua" w:cs="Arial"/>
          <w:b w:val="0"/>
          <w:color w:val="C00000"/>
          <w:sz w:val="22"/>
          <w:szCs w:val="22"/>
          <w:lang w:val="en-GB"/>
        </w:rPr>
      </w:pPr>
      <w:r>
        <w:rPr>
          <w:rFonts w:ascii="Book Antiqua" w:hAnsi="Book Antiqua"/>
          <w:b w:val="0"/>
          <w:color w:val="C00000"/>
          <w:sz w:val="22"/>
          <w:szCs w:val="22"/>
          <w:lang w:val="en-GB"/>
        </w:rPr>
        <w:t xml:space="preserve">How women’s resilience in the tourism sector has affected gender relations at home </w:t>
      </w:r>
      <w:r>
        <w:rPr>
          <w:rFonts w:ascii="Book Antiqua" w:hAnsi="Book Antiqua" w:cs="Arial"/>
          <w:b w:val="0"/>
          <w:color w:val="C00000"/>
          <w:sz w:val="22"/>
          <w:szCs w:val="22"/>
          <w:lang w:val="en-GB"/>
        </w:rPr>
        <w:t xml:space="preserve"> </w:t>
      </w:r>
    </w:p>
    <w:p w:rsidR="000F4686" w:rsidRDefault="00000000">
      <w:pPr>
        <w:keepNext/>
        <w:framePr w:dropCap="drop" w:lines="3" w:wrap="around" w:vAnchor="text" w:hAnchor="text"/>
        <w:spacing w:before="120" w:line="651" w:lineRule="exact"/>
        <w:textAlignment w:val="baseline"/>
        <w:rPr>
          <w:rFonts w:ascii="Book Antiqua" w:hAnsi="Book Antiqua"/>
          <w:position w:val="-7"/>
          <w:sz w:val="78"/>
          <w:szCs w:val="22"/>
          <w:lang w:val="en-GB"/>
        </w:rPr>
      </w:pPr>
      <w:r>
        <w:rPr>
          <w:rFonts w:ascii="Book Antiqua" w:hAnsi="Book Antiqua"/>
          <w:position w:val="-7"/>
          <w:sz w:val="78"/>
          <w:szCs w:val="22"/>
          <w:lang w:val="en-GB"/>
        </w:rPr>
        <w:t>C</w:t>
      </w:r>
    </w:p>
    <w:p w:rsidR="000F4686" w:rsidRDefault="00000000">
      <w:pPr>
        <w:spacing w:before="120" w:after="120" w:line="240" w:lineRule="auto"/>
        <w:rPr>
          <w:rFonts w:ascii="Book Antiqua" w:hAnsi="Book Antiqua"/>
          <w:szCs w:val="22"/>
          <w:lang w:val="en-GB"/>
        </w:rPr>
      </w:pPr>
      <w:r>
        <w:rPr>
          <w:rFonts w:ascii="Book Antiqua" w:hAnsi="Book Antiqua"/>
          <w:szCs w:val="22"/>
          <w:lang w:val="en-GB"/>
        </w:rPr>
        <w:t xml:space="preserve">learly, even the female employees of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were susceptible to the detrimental consequences of the COVID-19 pandemic. Nevertheless, these women managed the chocolate-selling unit by enhancing partnerships with external parties and implementing strategies for adaptability and competency development. Consequently, these women managed to generate income, albeit to a lesser extent than prior to the pandemic, even during periods of low tourist activity or even visitor numbers in </w:t>
      </w:r>
      <w:proofErr w:type="spellStart"/>
      <w:r>
        <w:rPr>
          <w:rFonts w:ascii="Book Antiqua" w:hAnsi="Book Antiqua"/>
          <w:szCs w:val="22"/>
          <w:lang w:val="en-GB"/>
        </w:rPr>
        <w:t>Nglanggeran</w:t>
      </w:r>
      <w:proofErr w:type="spellEnd"/>
      <w:r>
        <w:rPr>
          <w:rFonts w:ascii="Book Antiqua" w:hAnsi="Book Antiqua"/>
          <w:szCs w:val="22"/>
          <w:lang w:val="en-GB"/>
        </w:rPr>
        <w:t xml:space="preserve">. Moreover, in accordance with their own introspection, it is precisely the circumstances surrounding chocolate manufacturing and sales that have enabled them to maintain a healthy work-life balance during the pandemic. Before the pandemic, parents might well have perceived themselves as having little time to attend to household duties and spend quality time with their children. However, as the pandemic progresses, they might find themselves with additional time to devote to economic activities and remain at home. </w:t>
      </w:r>
    </w:p>
    <w:p w:rsidR="000F4686" w:rsidRDefault="00000000">
      <w:pPr>
        <w:spacing w:before="120" w:after="120" w:line="240" w:lineRule="auto"/>
        <w:ind w:left="567"/>
        <w:rPr>
          <w:rFonts w:ascii="Book Antiqua" w:hAnsi="Book Antiqua"/>
          <w:szCs w:val="22"/>
          <w:lang w:val="en-GB"/>
        </w:rPr>
      </w:pPr>
      <w:r>
        <w:rPr>
          <w:rFonts w:ascii="Book Antiqua" w:hAnsi="Book Antiqua"/>
          <w:szCs w:val="22"/>
          <w:lang w:val="en-GB"/>
        </w:rPr>
        <w:t>“We have achieved a consensus in certain negotiations. The extent to which my spouse is employed is apparent in consideration of the prevailing economic conditions. Furthermore, there exist specific situations in which women are granted permission to manifest their creative abilities. We agree, provided that the activity occurs in a corridor that adheres to the measures that we have established” (personal communication with Sub, the husband of Sam, August 2021).</w:t>
      </w:r>
    </w:p>
    <w:p w:rsidR="000F4686" w:rsidRDefault="00000000">
      <w:pPr>
        <w:spacing w:before="120" w:after="120" w:line="240" w:lineRule="auto"/>
        <w:ind w:left="567"/>
        <w:rPr>
          <w:rFonts w:ascii="Book Antiqua" w:hAnsi="Book Antiqua"/>
          <w:szCs w:val="22"/>
          <w:lang w:val="en-GB"/>
        </w:rPr>
      </w:pPr>
      <w:r>
        <w:rPr>
          <w:rFonts w:ascii="Book Antiqua" w:hAnsi="Book Antiqua"/>
          <w:szCs w:val="22"/>
          <w:lang w:val="en-GB"/>
        </w:rPr>
        <w:t xml:space="preserve">“Everyone is aware of each other’s duties and obligations. My wife also finished her domestic duties, including cooking and housekeeping, prior to leaving for work. Certainly, address any urgent matters first if they arise. Aside from emergencies, we do not engage in any special discussions. For instance, in situations requiring my wife to remain up late or leave early in the morning, she will undoubtedly inform me in advance. When my wife is too busy to prepare meals, I prepare or purchase the food” (personal communication with </w:t>
      </w:r>
      <w:proofErr w:type="spellStart"/>
      <w:r>
        <w:rPr>
          <w:rFonts w:ascii="Book Antiqua" w:hAnsi="Book Antiqua"/>
          <w:szCs w:val="22"/>
          <w:lang w:val="en-GB"/>
        </w:rPr>
        <w:t>Suw</w:t>
      </w:r>
      <w:proofErr w:type="spellEnd"/>
      <w:r>
        <w:rPr>
          <w:rFonts w:ascii="Book Antiqua" w:hAnsi="Book Antiqua"/>
          <w:szCs w:val="22"/>
          <w:lang w:val="en-GB"/>
        </w:rPr>
        <w:t xml:space="preserve">, husband of Sud, August 2021). </w:t>
      </w:r>
    </w:p>
    <w:p w:rsidR="000F4686" w:rsidRDefault="00000000">
      <w:pPr>
        <w:spacing w:before="120" w:after="120" w:line="240" w:lineRule="auto"/>
        <w:rPr>
          <w:rFonts w:ascii="Book Antiqua" w:hAnsi="Book Antiqua"/>
          <w:szCs w:val="22"/>
          <w:lang w:val="en-GB"/>
        </w:rPr>
      </w:pPr>
      <w:r>
        <w:rPr>
          <w:rFonts w:ascii="Book Antiqua" w:hAnsi="Book Antiqua"/>
          <w:szCs w:val="22"/>
          <w:lang w:val="en-GB"/>
        </w:rPr>
        <w:t xml:space="preserve">Through the implementation of a more flexible timetable in this fashion, the time management of the women would be </w:t>
      </w:r>
      <w:r>
        <w:rPr>
          <w:rFonts w:ascii="Book Antiqua" w:hAnsi="Book Antiqua"/>
          <w:szCs w:val="22"/>
          <w:lang w:val="en-GB"/>
        </w:rPr>
        <w:lastRenderedPageBreak/>
        <w:t xml:space="preserve">significantly facilitated. For instance, certain individuals who have young children may find it easier to balance work and home responsibilities if the youngster is difficult to handle or if they have another familial obligation. Furthermore, the increased job flexibility enjoyed by the wives was valued by the spouses. Even if in smaller amounts than before the epidemic, the families’ financial condition may be improved by the money their wives earned; also, everyone was delighted with the women’s enhanced availability to the family. One of the staffs of the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expressed the following viewpoint stance:</w:t>
      </w:r>
    </w:p>
    <w:p w:rsidR="000F4686" w:rsidRDefault="00000000">
      <w:pPr>
        <w:spacing w:before="120" w:after="120" w:line="240" w:lineRule="auto"/>
        <w:ind w:left="567"/>
        <w:rPr>
          <w:rFonts w:ascii="Book Antiqua" w:hAnsi="Book Antiqua"/>
          <w:szCs w:val="22"/>
          <w:lang w:val="en-GB"/>
        </w:rPr>
      </w:pPr>
      <w:r>
        <w:rPr>
          <w:rFonts w:ascii="Book Antiqua" w:hAnsi="Book Antiqua"/>
          <w:szCs w:val="22"/>
          <w:lang w:val="en-GB"/>
        </w:rPr>
        <w:t xml:space="preserve">“Yes, as you may have noticed, we now have more free time. Furthermore, the work entry system is currently on a rolling basis. We used to be able to get permission not to come to work when we had a family matter, such as taking care of children or family or engaging in other economic activities such as farming, but there was no other person to replace us. During this pandemic, we can, for example, choose not to go to work today and instead ask friends who are not on a work schedule to assist us first. Later, it will be our turn to replace the work schedule. Yes, the point is that it used to be flexible, but it has become even more so during this pandemic” (personal communication with Ret, Staff of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August 2021).</w:t>
      </w:r>
    </w:p>
    <w:p w:rsidR="000F4686" w:rsidRDefault="00000000">
      <w:pPr>
        <w:spacing w:before="120" w:after="120" w:line="240" w:lineRule="auto"/>
        <w:rPr>
          <w:rFonts w:ascii="Book Antiqua" w:hAnsi="Book Antiqua"/>
          <w:szCs w:val="22"/>
          <w:lang w:val="en-GB"/>
        </w:rPr>
      </w:pPr>
      <w:r>
        <w:rPr>
          <w:rFonts w:ascii="Book Antiqua" w:hAnsi="Book Antiqua"/>
          <w:szCs w:val="22"/>
          <w:lang w:val="en-GB"/>
        </w:rPr>
        <w:t>The remark above is intriguing upon reflection. Notwithstanding their affiliation with economic activities and production that are intricately linked to the tourism sector, these women continue to reside in rural regions and are emblematic of the agriculture business. One could contend that their conception and understanding of the means by which they support themselves are, at best, inextricably linked to the tourism industry, and, on the contrary, not fully divorced from the agricultural sector. It is believed that this circumstance promotes the development of resilience, especially economically, at least within the domestic domain. Consequently, the extent to which women engage in economic diversification is contingent not just on changes in production modes within a given sector, but also on such variations spanning sectors. In a crisis situation precipitated by a pandemic, they are presented with a greater array of alternatives when it comes to determining which sectors possess the capacity to operate. Indeed, it may be possible for them to integrate many sectors in order to devise a strategy for managing livelihood resources that can endure a crisis of this nature (Chan, 2021).</w:t>
      </w:r>
    </w:p>
    <w:p w:rsidR="000F4686" w:rsidRDefault="00000000">
      <w:pPr>
        <w:spacing w:before="120" w:after="120" w:line="240" w:lineRule="auto"/>
        <w:rPr>
          <w:rFonts w:ascii="Book Antiqua" w:hAnsi="Book Antiqua"/>
          <w:szCs w:val="22"/>
          <w:lang w:val="en-GB"/>
        </w:rPr>
      </w:pPr>
      <w:r>
        <w:rPr>
          <w:rFonts w:ascii="Book Antiqua" w:hAnsi="Book Antiqua"/>
          <w:szCs w:val="22"/>
          <w:lang w:val="en-GB"/>
        </w:rPr>
        <w:t xml:space="preserve">Furthermore, the decreased intensity of chocolate manufacturing compared to the previous period granted the women greater autonomy in determining whether to report to work or remain at home to attend to domestic duties throughout the duration of the pandemic. As described by </w:t>
      </w:r>
      <w:proofErr w:type="spellStart"/>
      <w:r>
        <w:rPr>
          <w:rFonts w:ascii="Book Antiqua" w:hAnsi="Book Antiqua"/>
          <w:szCs w:val="22"/>
          <w:lang w:val="en-GB"/>
        </w:rPr>
        <w:t>Esping</w:t>
      </w:r>
      <w:proofErr w:type="spellEnd"/>
      <w:r>
        <w:rPr>
          <w:rFonts w:ascii="Book Antiqua" w:hAnsi="Book Antiqua"/>
          <w:szCs w:val="22"/>
          <w:lang w:val="en-GB"/>
        </w:rPr>
        <w:t xml:space="preserve">-Andersen (1990), a process of decommodification occurs with regard to the status of women upon closer inspection. This indicates that women, who are considered local residents in this context, are endowed with the autonomy to make decisions and manage their lives in accordance with their social rights, as opposed to the perspective that regards citizens, including women, as labour market commodities (Yu et al., 2019; </w:t>
      </w:r>
      <w:proofErr w:type="spellStart"/>
      <w:r>
        <w:rPr>
          <w:rFonts w:ascii="Book Antiqua" w:hAnsi="Book Antiqua"/>
          <w:szCs w:val="22"/>
          <w:lang w:val="en-GB"/>
        </w:rPr>
        <w:t>Yuda</w:t>
      </w:r>
      <w:proofErr w:type="spellEnd"/>
      <w:r>
        <w:rPr>
          <w:rFonts w:ascii="Book Antiqua" w:hAnsi="Book Antiqua"/>
          <w:szCs w:val="22"/>
          <w:lang w:val="en-GB"/>
        </w:rPr>
        <w:t xml:space="preserve"> &amp; </w:t>
      </w:r>
      <w:proofErr w:type="spellStart"/>
      <w:r>
        <w:rPr>
          <w:rFonts w:ascii="Book Antiqua" w:hAnsi="Book Antiqua"/>
          <w:szCs w:val="22"/>
          <w:lang w:val="en-GB"/>
        </w:rPr>
        <w:t>Rezza</w:t>
      </w:r>
      <w:proofErr w:type="spellEnd"/>
      <w:r>
        <w:rPr>
          <w:rFonts w:ascii="Book Antiqua" w:hAnsi="Book Antiqua"/>
          <w:szCs w:val="22"/>
          <w:lang w:val="en-GB"/>
        </w:rPr>
        <w:t xml:space="preserve">, 2021). Lastly, it is evident that the women participating in </w:t>
      </w:r>
      <w:proofErr w:type="spellStart"/>
      <w:r>
        <w:rPr>
          <w:rFonts w:ascii="Book Antiqua" w:hAnsi="Book Antiqua"/>
          <w:szCs w:val="22"/>
          <w:lang w:val="en-GB"/>
        </w:rPr>
        <w:t>Griya</w:t>
      </w:r>
      <w:proofErr w:type="spellEnd"/>
      <w:r>
        <w:rPr>
          <w:rFonts w:ascii="Book Antiqua" w:hAnsi="Book Antiqua"/>
          <w:szCs w:val="22"/>
          <w:lang w:val="en-GB"/>
        </w:rPr>
        <w:t xml:space="preserve"> </w:t>
      </w:r>
      <w:proofErr w:type="spellStart"/>
      <w:r>
        <w:rPr>
          <w:rFonts w:ascii="Book Antiqua" w:hAnsi="Book Antiqua"/>
          <w:szCs w:val="22"/>
          <w:lang w:val="en-GB"/>
        </w:rPr>
        <w:t>Cokelat</w:t>
      </w:r>
      <w:proofErr w:type="spellEnd"/>
      <w:r>
        <w:rPr>
          <w:rFonts w:ascii="Book Antiqua" w:hAnsi="Book Antiqua"/>
          <w:szCs w:val="22"/>
          <w:lang w:val="en-GB"/>
        </w:rPr>
        <w:t xml:space="preserve"> exhibit greater resilience due to the fact that, other from engaging in productive economic endeavours to sustain themselves during a </w:t>
      </w:r>
      <w:r>
        <w:rPr>
          <w:rFonts w:ascii="Book Antiqua" w:hAnsi="Book Antiqua"/>
          <w:szCs w:val="22"/>
          <w:lang w:val="en-GB"/>
        </w:rPr>
        <w:t xml:space="preserve">pandemic, they also possess the agency to dictate appropriate behaviour. They enjoy greater personal autonomy as they are not obligated to engage in daily labour within the intensive tourism sector. It is comparable to having a flexible lifestyle prior to the development of tourism in </w:t>
      </w:r>
      <w:proofErr w:type="spellStart"/>
      <w:r>
        <w:rPr>
          <w:rFonts w:ascii="Book Antiqua" w:hAnsi="Book Antiqua"/>
          <w:szCs w:val="22"/>
          <w:lang w:val="en-GB"/>
        </w:rPr>
        <w:t>Nglanggeran</w:t>
      </w:r>
      <w:proofErr w:type="spellEnd"/>
      <w:r>
        <w:rPr>
          <w:rFonts w:ascii="Book Antiqua" w:hAnsi="Book Antiqua"/>
          <w:szCs w:val="22"/>
          <w:lang w:val="en-GB"/>
        </w:rPr>
        <w:t>.</w:t>
      </w:r>
    </w:p>
    <w:p w:rsidR="000F4686" w:rsidRDefault="00000000">
      <w:pPr>
        <w:pStyle w:val="Heading1"/>
        <w:numPr>
          <w:ilvl w:val="0"/>
          <w:numId w:val="0"/>
        </w:numPr>
        <w:rPr>
          <w:rFonts w:ascii="Book Antiqua" w:hAnsi="Book Antiqua" w:cs="Arial"/>
          <w:sz w:val="20"/>
          <w:szCs w:val="20"/>
          <w:lang w:val="en-GB"/>
        </w:rPr>
      </w:pPr>
      <w:r>
        <w:rPr>
          <w:rFonts w:ascii="Book Antiqua" w:hAnsi="Book Antiqua" w:cs="Arial"/>
          <w:sz w:val="20"/>
          <w:szCs w:val="20"/>
          <w:lang w:val="en-GB"/>
        </w:rPr>
        <w:t>CONCLUSIONS</w:t>
      </w:r>
    </w:p>
    <w:p w:rsidR="000F4686" w:rsidRDefault="00000000">
      <w:pPr>
        <w:keepNext/>
        <w:framePr w:dropCap="drop" w:lines="3" w:wrap="around" w:vAnchor="text" w:hAnchor="text"/>
        <w:spacing w:line="651" w:lineRule="exact"/>
        <w:textAlignment w:val="baseline"/>
        <w:rPr>
          <w:rFonts w:ascii="Book Antiqua" w:hAnsi="Book Antiqua"/>
          <w:position w:val="-8"/>
          <w:sz w:val="80"/>
          <w:szCs w:val="20"/>
          <w:lang w:val="en-GB"/>
        </w:rPr>
      </w:pPr>
      <w:r>
        <w:rPr>
          <w:rFonts w:ascii="Book Antiqua" w:hAnsi="Book Antiqua"/>
          <w:position w:val="-8"/>
          <w:sz w:val="80"/>
          <w:szCs w:val="20"/>
          <w:lang w:val="en-GB"/>
        </w:rPr>
        <w:t>T</w:t>
      </w:r>
    </w:p>
    <w:p w:rsidR="000F4686" w:rsidRDefault="00000000">
      <w:pPr>
        <w:spacing w:before="120" w:line="240" w:lineRule="auto"/>
        <w:rPr>
          <w:rFonts w:ascii="Book Antiqua" w:hAnsi="Book Antiqua"/>
          <w:szCs w:val="20"/>
          <w:lang w:val="en-GB"/>
        </w:rPr>
      </w:pPr>
      <w:r>
        <w:rPr>
          <w:rFonts w:ascii="Book Antiqua" w:hAnsi="Book Antiqua"/>
          <w:szCs w:val="20"/>
          <w:lang w:val="en-GB"/>
        </w:rPr>
        <w:t>he shift towards tourism is frequently perceived as a means of generating revenue in numerous villages around Indonesia. This may have appeared to be the case prior to the pandemic, when a great number of locals placed their hopes in the tourism industry. Nevertheless, as the COVID-19 pandemic has proved, tourism cannot continue to be a viable source of revenue. Particularly perilous is the situation that ensues when the locals abandon their traditional way of life in favour of tourists. Tourism disrupts local ecosystems, communities, and cultures in addition to contributing to social and economic injustice, which are adverse effects of economic expansion (</w:t>
      </w:r>
      <w:proofErr w:type="spellStart"/>
      <w:r>
        <w:rPr>
          <w:rFonts w:ascii="Book Antiqua" w:hAnsi="Book Antiqua"/>
          <w:szCs w:val="20"/>
          <w:lang w:val="en-GB"/>
        </w:rPr>
        <w:t>Trupp</w:t>
      </w:r>
      <w:proofErr w:type="spellEnd"/>
      <w:r>
        <w:rPr>
          <w:rFonts w:ascii="Book Antiqua" w:hAnsi="Book Antiqua"/>
          <w:szCs w:val="20"/>
          <w:lang w:val="en-GB"/>
        </w:rPr>
        <w:t xml:space="preserve"> et al., 2020). Local communities could potentially deteriorate into poverty due to the failure of tourism initiatives (</w:t>
      </w:r>
      <w:proofErr w:type="spellStart"/>
      <w:r>
        <w:rPr>
          <w:rFonts w:ascii="Book Antiqua" w:hAnsi="Book Antiqua"/>
          <w:szCs w:val="20"/>
          <w:lang w:val="en-GB"/>
        </w:rPr>
        <w:t>Laso</w:t>
      </w:r>
      <w:proofErr w:type="spellEnd"/>
      <w:r>
        <w:rPr>
          <w:rFonts w:ascii="Book Antiqua" w:hAnsi="Book Antiqua"/>
          <w:szCs w:val="20"/>
          <w:lang w:val="en-GB"/>
        </w:rPr>
        <w:t xml:space="preserve"> &amp; </w:t>
      </w:r>
      <w:proofErr w:type="spellStart"/>
      <w:r>
        <w:rPr>
          <w:rFonts w:ascii="Book Antiqua" w:hAnsi="Book Antiqua"/>
          <w:szCs w:val="20"/>
          <w:lang w:val="en-GB"/>
        </w:rPr>
        <w:t>Dahles</w:t>
      </w:r>
      <w:proofErr w:type="spellEnd"/>
      <w:r>
        <w:rPr>
          <w:rFonts w:ascii="Book Antiqua" w:hAnsi="Book Antiqua"/>
          <w:szCs w:val="20"/>
          <w:lang w:val="en-GB"/>
        </w:rPr>
        <w:t>, 2020) and their inability to revert to traditional means of subsistence if the transition to tourism work patterns is compelled and they are forced to abandon their traditional ways of life (</w:t>
      </w:r>
      <w:proofErr w:type="spellStart"/>
      <w:r>
        <w:rPr>
          <w:rFonts w:ascii="Book Antiqua" w:hAnsi="Book Antiqua"/>
          <w:szCs w:val="20"/>
          <w:lang w:val="en-GB"/>
        </w:rPr>
        <w:t>Noorashid</w:t>
      </w:r>
      <w:proofErr w:type="spellEnd"/>
      <w:r>
        <w:rPr>
          <w:rFonts w:ascii="Book Antiqua" w:hAnsi="Book Antiqua"/>
          <w:szCs w:val="20"/>
          <w:lang w:val="en-GB"/>
        </w:rPr>
        <w:t xml:space="preserve"> &amp; Chin, 2021).</w:t>
      </w:r>
    </w:p>
    <w:p w:rsidR="000F4686" w:rsidRDefault="00000000">
      <w:pPr>
        <w:spacing w:before="120" w:line="240" w:lineRule="auto"/>
        <w:rPr>
          <w:rFonts w:ascii="Book Antiqua" w:hAnsi="Book Antiqua"/>
          <w:szCs w:val="20"/>
          <w:lang w:val="en-GB"/>
        </w:rPr>
      </w:pPr>
      <w:r>
        <w:rPr>
          <w:rFonts w:ascii="Book Antiqua" w:hAnsi="Book Antiqua"/>
          <w:szCs w:val="20"/>
          <w:lang w:val="en-GB"/>
        </w:rPr>
        <w:t xml:space="preserve">A notable decline in tourism revenue was also a consequence of the pandemic’s influence on the </w:t>
      </w:r>
      <w:proofErr w:type="spellStart"/>
      <w:r>
        <w:rPr>
          <w:rFonts w:ascii="Book Antiqua" w:hAnsi="Book Antiqua"/>
          <w:szCs w:val="20"/>
          <w:lang w:val="en-GB"/>
        </w:rPr>
        <w:t>Nglanggeran</w:t>
      </w:r>
      <w:proofErr w:type="spellEnd"/>
      <w:r>
        <w:rPr>
          <w:rFonts w:ascii="Book Antiqua" w:hAnsi="Book Antiqua"/>
          <w:szCs w:val="20"/>
          <w:lang w:val="en-GB"/>
        </w:rPr>
        <w:t xml:space="preserve"> tourism village. We learn a great deal from the women who work in tourism in </w:t>
      </w:r>
      <w:proofErr w:type="spellStart"/>
      <w:r>
        <w:rPr>
          <w:rFonts w:ascii="Book Antiqua" w:hAnsi="Book Antiqua"/>
          <w:szCs w:val="20"/>
          <w:lang w:val="en-GB"/>
        </w:rPr>
        <w:t>Nglanggeran</w:t>
      </w:r>
      <w:proofErr w:type="spellEnd"/>
      <w:r>
        <w:rPr>
          <w:rFonts w:ascii="Book Antiqua" w:hAnsi="Book Antiqua"/>
          <w:szCs w:val="20"/>
          <w:lang w:val="en-GB"/>
        </w:rPr>
        <w:t xml:space="preserve"> regarding the perils of rural areas being overly dependent on tourism. The chocolate processing work unit, which is managed exclusively by women, was the only work unit that survived the decline in tourism activities in </w:t>
      </w:r>
      <w:proofErr w:type="spellStart"/>
      <w:r>
        <w:rPr>
          <w:rFonts w:ascii="Book Antiqua" w:hAnsi="Book Antiqua"/>
          <w:szCs w:val="20"/>
          <w:lang w:val="en-GB"/>
        </w:rPr>
        <w:t>Nglanggeran</w:t>
      </w:r>
      <w:proofErr w:type="spellEnd"/>
      <w:r>
        <w:rPr>
          <w:rFonts w:ascii="Book Antiqua" w:hAnsi="Book Antiqua"/>
          <w:szCs w:val="20"/>
          <w:lang w:val="en-GB"/>
        </w:rPr>
        <w:t xml:space="preserve"> as a result of movement and visitation restrictions. Despite the reduction in production scale, it remained operational during the pandemic. Then, in response to the pandemic, these women modified their internet sales strategies. An alteration in their conditions compelled them to enhance their proficiency in digital literacy. With the assistance of Bank Indonesia, </w:t>
      </w:r>
      <w:proofErr w:type="spellStart"/>
      <w:r>
        <w:rPr>
          <w:rFonts w:ascii="Book Antiqua" w:hAnsi="Book Antiqua"/>
          <w:szCs w:val="20"/>
          <w:lang w:val="en-GB"/>
        </w:rPr>
        <w:t>Griya</w:t>
      </w:r>
      <w:proofErr w:type="spellEnd"/>
      <w:r>
        <w:rPr>
          <w:rFonts w:ascii="Book Antiqua" w:hAnsi="Book Antiqua"/>
          <w:szCs w:val="20"/>
          <w:lang w:val="en-GB"/>
        </w:rPr>
        <w:t xml:space="preserve"> </w:t>
      </w:r>
      <w:proofErr w:type="spellStart"/>
      <w:r>
        <w:rPr>
          <w:rFonts w:ascii="Book Antiqua" w:hAnsi="Book Antiqua"/>
          <w:szCs w:val="20"/>
          <w:lang w:val="en-GB"/>
        </w:rPr>
        <w:t>Cokelat</w:t>
      </w:r>
      <w:proofErr w:type="spellEnd"/>
      <w:r>
        <w:rPr>
          <w:rFonts w:ascii="Book Antiqua" w:hAnsi="Book Antiqua"/>
          <w:szCs w:val="20"/>
          <w:lang w:val="en-GB"/>
        </w:rPr>
        <w:t xml:space="preserve"> even managed to execute a pilot project for exporting chocolate to Singapore, albeit in a rather small quantity. As an extension of domestic labour, their occupation as chocolate makers can add to the current critique of the feminization of service jobs in tourism. Nonetheless, their work has been shown to persist despite the occurrence of a pandemic. Increasing the resilience of local communities in the event of disasters while decreasing dependency on tourism services can be accomplished through the diversification of tourism goods utilizing regional resources (Person-Fischer &amp; Liu, 2021; </w:t>
      </w:r>
      <w:proofErr w:type="spellStart"/>
      <w:r>
        <w:rPr>
          <w:rFonts w:ascii="Book Antiqua" w:hAnsi="Book Antiqua"/>
          <w:szCs w:val="20"/>
          <w:lang w:val="en-GB"/>
        </w:rPr>
        <w:t>Altejevic</w:t>
      </w:r>
      <w:proofErr w:type="spellEnd"/>
      <w:r>
        <w:rPr>
          <w:rFonts w:ascii="Book Antiqua" w:hAnsi="Book Antiqua"/>
          <w:szCs w:val="20"/>
          <w:lang w:val="en-GB"/>
        </w:rPr>
        <w:t>, 2020; Mulder, 2020).</w:t>
      </w:r>
    </w:p>
    <w:p w:rsidR="000F4686" w:rsidRDefault="00000000">
      <w:pPr>
        <w:spacing w:before="120" w:line="240" w:lineRule="auto"/>
        <w:rPr>
          <w:rFonts w:ascii="Book Antiqua" w:hAnsi="Book Antiqua"/>
          <w:szCs w:val="20"/>
          <w:lang w:val="en-GB"/>
        </w:rPr>
      </w:pPr>
      <w:r>
        <w:rPr>
          <w:rFonts w:ascii="Book Antiqua" w:hAnsi="Book Antiqua"/>
          <w:szCs w:val="20"/>
          <w:lang w:val="en-GB"/>
        </w:rPr>
        <w:t xml:space="preserve">The story twist was characterized by the favourable impression of the declining productivity and revenue of the female employees of </w:t>
      </w:r>
      <w:proofErr w:type="spellStart"/>
      <w:r>
        <w:rPr>
          <w:rFonts w:ascii="Book Antiqua" w:hAnsi="Book Antiqua"/>
          <w:szCs w:val="20"/>
          <w:lang w:val="en-GB"/>
        </w:rPr>
        <w:t>Griya</w:t>
      </w:r>
      <w:proofErr w:type="spellEnd"/>
      <w:r>
        <w:rPr>
          <w:rFonts w:ascii="Book Antiqua" w:hAnsi="Book Antiqua"/>
          <w:szCs w:val="20"/>
          <w:lang w:val="en-GB"/>
        </w:rPr>
        <w:t xml:space="preserve"> </w:t>
      </w:r>
      <w:proofErr w:type="spellStart"/>
      <w:r>
        <w:rPr>
          <w:rFonts w:ascii="Book Antiqua" w:hAnsi="Book Antiqua"/>
          <w:szCs w:val="20"/>
          <w:lang w:val="en-GB"/>
        </w:rPr>
        <w:t>Cokelat</w:t>
      </w:r>
      <w:proofErr w:type="spellEnd"/>
      <w:r>
        <w:rPr>
          <w:rFonts w:ascii="Book Antiqua" w:hAnsi="Book Antiqua"/>
          <w:szCs w:val="20"/>
          <w:lang w:val="en-GB"/>
        </w:rPr>
        <w:t xml:space="preserve">. The women articulate their appreciation for the decreased work schedules and more schedule flexibility, as it empowers them to efficiently handle both their professional and personal obligations. The concurrent family duties of women who are employed in the public sector have become the subject of considerable criticism, resulting in a double burden for these women (Sinclair, 2005; Cole, 2018). Multiple factors, including the local community’s perception and the contextual </w:t>
      </w:r>
      <w:r>
        <w:rPr>
          <w:rFonts w:ascii="Book Antiqua" w:hAnsi="Book Antiqua"/>
          <w:szCs w:val="20"/>
          <w:lang w:val="en-GB"/>
        </w:rPr>
        <w:lastRenderedPageBreak/>
        <w:t>framework, must be duly considered while assessing women’s empowerment (Cole, 2018). Contextual considerations, including historical and social elements, as well as parallels to current global economic trends, are crucial for the research of gender dynamics in the tourism industry (Feng, 2013, as cited in Cole, 2018, p. 7).</w:t>
      </w:r>
    </w:p>
    <w:p w:rsidR="000F4686" w:rsidRDefault="00000000">
      <w:pPr>
        <w:spacing w:before="120" w:line="240" w:lineRule="auto"/>
        <w:rPr>
          <w:rFonts w:ascii="Book Antiqua" w:hAnsi="Book Antiqua"/>
          <w:szCs w:val="20"/>
          <w:lang w:val="en-GB"/>
        </w:rPr>
      </w:pPr>
      <w:r>
        <w:rPr>
          <w:rFonts w:ascii="Book Antiqua" w:hAnsi="Book Antiqua"/>
          <w:szCs w:val="20"/>
          <w:lang w:val="en-GB"/>
        </w:rPr>
        <w:t xml:space="preserve">Tourism villages are frequently developed within village communities in Java, Indonesia, with a predominant adherence to traditional gender roles and ways of life. Through this analysis, a regional comprehension of the role and responsibilities of women within the household, society, and public economic affairs should be discernible. Notwithstanding the apparent aim of empowerment efforts being the promotion of equality and equal authority, it is imperative to grasp the priorities held by these female employees (Cole, 2018, p.7). An analysis of </w:t>
      </w:r>
      <w:proofErr w:type="spellStart"/>
      <w:r>
        <w:rPr>
          <w:rFonts w:ascii="Book Antiqua" w:hAnsi="Book Antiqua"/>
          <w:szCs w:val="20"/>
          <w:lang w:val="en-GB"/>
        </w:rPr>
        <w:t>Nglanggeran</w:t>
      </w:r>
      <w:proofErr w:type="spellEnd"/>
      <w:r>
        <w:rPr>
          <w:rFonts w:ascii="Book Antiqua" w:hAnsi="Book Antiqua"/>
          <w:szCs w:val="20"/>
          <w:lang w:val="en-GB"/>
        </w:rPr>
        <w:t xml:space="preserve"> demonstrates the deep interconnection between gender and resilience (Hirani et al. al., 2016). The gender system that prioritizes the unchallenged position of women within the domestic sphere and the resilience efforts of these women are inextricably linked. Notwithstanding the persistent nature of their endeavours to maintain resilience amidst this pandemic and their impact on the sustainability of local livelihoods, it is beyond dispute that the influence to maintain conventional gender roles remains more prominent in the context of an increasingly globalized tourism sector. However, the manner in which </w:t>
      </w:r>
      <w:proofErr w:type="spellStart"/>
      <w:r>
        <w:rPr>
          <w:rFonts w:ascii="Book Antiqua" w:hAnsi="Book Antiqua"/>
          <w:szCs w:val="20"/>
          <w:lang w:val="en-GB"/>
        </w:rPr>
        <w:t>Griya</w:t>
      </w:r>
      <w:proofErr w:type="spellEnd"/>
      <w:r>
        <w:rPr>
          <w:rFonts w:ascii="Book Antiqua" w:hAnsi="Book Antiqua"/>
          <w:szCs w:val="20"/>
          <w:lang w:val="en-GB"/>
        </w:rPr>
        <w:t xml:space="preserve"> </w:t>
      </w:r>
      <w:proofErr w:type="spellStart"/>
      <w:r>
        <w:rPr>
          <w:rFonts w:ascii="Book Antiqua" w:hAnsi="Book Antiqua"/>
          <w:szCs w:val="20"/>
          <w:lang w:val="en-GB"/>
        </w:rPr>
        <w:t>Cokelat</w:t>
      </w:r>
      <w:proofErr w:type="spellEnd"/>
      <w:r>
        <w:rPr>
          <w:rFonts w:ascii="Book Antiqua" w:hAnsi="Book Antiqua"/>
          <w:szCs w:val="20"/>
          <w:lang w:val="en-GB"/>
        </w:rPr>
        <w:t xml:space="preserve"> has modified chocolate manufacturing may initiate a fundamental change in the approach to product diversification in order to safeguard the tourism industry's sustainability during a pandemic. Furthermore, it has the potential to grant women increased independence in setting their priorities, encompassing the ability to manage work in the tourism sector while attending to familial obligations.</w:t>
      </w:r>
    </w:p>
    <w:p w:rsidR="000F4686" w:rsidRDefault="00000000">
      <w:pPr>
        <w:spacing w:before="120" w:line="240" w:lineRule="auto"/>
        <w:rPr>
          <w:rFonts w:ascii="Book Antiqua" w:hAnsi="Book Antiqua"/>
          <w:szCs w:val="20"/>
          <w:lang w:val="en-GB"/>
        </w:rPr>
      </w:pPr>
      <w:r>
        <w:rPr>
          <w:rFonts w:ascii="Book Antiqua" w:hAnsi="Book Antiqua"/>
          <w:szCs w:val="20"/>
          <w:lang w:val="en-GB"/>
        </w:rPr>
        <w:t xml:space="preserve">To ascertain the continued validity of this discovery in the aftermath of the pandemic, future studies represent a fruitful avenue of inquiry. After concluding their final visit to the research site in 2022, the authors noted that the tourism sector had nearly returned to its pre-pandemic condition, the women had resumed their regular work schedules, and an increasing number of tourists had made in-situ purchases of the products, thereby enabling the women to engage in direct sales with a larger customer base. Despite this, online sales have experienced sustained growth and evolved into a diverse and complex sales channel. An area for research in the near future could be the investigation of whether the resumption of tourist activity causes concern among women who are once again occupied at the chocolate production unit catering to the tourists and struggling to juggle their domestic obligations. Additional research could contemplate whether the gender dynamics between female employees and their spouses in </w:t>
      </w:r>
      <w:proofErr w:type="spellStart"/>
      <w:r>
        <w:rPr>
          <w:rFonts w:ascii="Book Antiqua" w:hAnsi="Book Antiqua"/>
          <w:szCs w:val="20"/>
          <w:lang w:val="en-GB"/>
        </w:rPr>
        <w:t>Nglanggeran</w:t>
      </w:r>
      <w:proofErr w:type="spellEnd"/>
      <w:r>
        <w:rPr>
          <w:rFonts w:ascii="Book Antiqua" w:hAnsi="Book Antiqua"/>
          <w:szCs w:val="20"/>
          <w:lang w:val="en-GB"/>
        </w:rPr>
        <w:t>, now that the spouses have resumed their professional jobs, will revert to their pre-pandemic state.</w:t>
      </w:r>
    </w:p>
    <w:p w:rsidR="000F4686" w:rsidRDefault="00000000">
      <w:pPr>
        <w:pStyle w:val="Heading1"/>
        <w:numPr>
          <w:ilvl w:val="0"/>
          <w:numId w:val="0"/>
        </w:numPr>
        <w:rPr>
          <w:rFonts w:ascii="Book Antiqua" w:hAnsi="Book Antiqua" w:cs="Arial"/>
          <w:sz w:val="20"/>
          <w:szCs w:val="20"/>
          <w:lang w:val="en-GB"/>
        </w:rPr>
      </w:pPr>
      <w:r>
        <w:rPr>
          <w:rFonts w:ascii="Book Antiqua" w:hAnsi="Book Antiqua" w:cs="Arial"/>
          <w:sz w:val="20"/>
          <w:szCs w:val="20"/>
          <w:lang w:val="en-GB"/>
        </w:rPr>
        <w:t>ACKNOWLEDGMENT</w:t>
      </w:r>
    </w:p>
    <w:p w:rsidR="000F4686" w:rsidRDefault="00000000">
      <w:pPr>
        <w:pStyle w:val="Acknowledgement"/>
        <w:rPr>
          <w:rFonts w:ascii="Book Antiqua" w:hAnsi="Book Antiqua" w:cs="Arial"/>
          <w:sz w:val="20"/>
          <w:szCs w:val="20"/>
          <w:lang w:val="en-GB"/>
        </w:rPr>
      </w:pPr>
      <w:r>
        <w:rPr>
          <w:rFonts w:ascii="Book Antiqua" w:hAnsi="Book Antiqua" w:cs="Arial"/>
          <w:sz w:val="20"/>
          <w:szCs w:val="20"/>
          <w:lang w:val="en-GB"/>
        </w:rPr>
        <w:t>REFERENCES</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Adams, K. M., Choe, J., </w:t>
      </w:r>
      <w:proofErr w:type="spellStart"/>
      <w:r w:rsidRPr="003B1C76">
        <w:rPr>
          <w:rFonts w:ascii="Book Antiqua" w:eastAsia=".AppleSystemUIFont Regular" w:hAnsi="Book Antiqua" w:cs=".AppleSystemUIFont Regular"/>
          <w:szCs w:val="18"/>
          <w:lang w:val="en-GB"/>
        </w:rPr>
        <w:t>Mostafanezhad</w:t>
      </w:r>
      <w:proofErr w:type="spellEnd"/>
      <w:r w:rsidRPr="003B1C76">
        <w:rPr>
          <w:rFonts w:ascii="Book Antiqua" w:eastAsia=".AppleSystemUIFont Regular" w:hAnsi="Book Antiqua" w:cs=".AppleSystemUIFont Regular"/>
          <w:szCs w:val="18"/>
          <w:lang w:val="en-GB"/>
        </w:rPr>
        <w:t xml:space="preserve">, M., &amp; Phi, G. T. (2021). (Post-) pandemic tourism resiliency: Southeast Asian lives and livelihoods in limbo. </w:t>
      </w:r>
      <w:r w:rsidRPr="003B1C76">
        <w:rPr>
          <w:rFonts w:ascii="Book Antiqua" w:eastAsia=".AppleSystemUIFont Regular" w:hAnsi="Book Antiqua" w:cs=".AppleSystemUIFont Regular"/>
          <w:i/>
          <w:szCs w:val="18"/>
          <w:lang w:val="en-GB"/>
        </w:rPr>
        <w:t>Tourism Geographies</w:t>
      </w:r>
      <w:r w:rsidRPr="003B1C76">
        <w:rPr>
          <w:rFonts w:ascii="Book Antiqua" w:eastAsia=".AppleSystemUIFont Regular" w:hAnsi="Book Antiqua" w:cs=".AppleSystemUIFont Regular"/>
          <w:szCs w:val="18"/>
          <w:lang w:val="en-GB"/>
        </w:rPr>
        <w:t xml:space="preserve">, 23(4), 915–936.  </w:t>
      </w:r>
      <w:hyperlink r:id="rId20" w:history="1">
        <w:r w:rsidRPr="003B1C76">
          <w:rPr>
            <w:rStyle w:val="17"/>
            <w:rFonts w:ascii="Book Antiqua" w:eastAsia=".AppleSystemUIFont Regular" w:hAnsi="Book Antiqua" w:cs=".AppleSystemUIFont Regular" w:hint="default"/>
            <w:szCs w:val="18"/>
            <w:lang w:val="en-GB"/>
          </w:rPr>
          <w:t>https://doi.org/10.1080/14616688.2021.1916584</w:t>
        </w:r>
      </w:hyperlink>
      <w:r w:rsidRPr="003B1C76">
        <w:rPr>
          <w:rFonts w:ascii="Book Antiqua" w:eastAsia=".AppleSystemUIFont Regular" w:hAnsi="Book Antiqua" w:cs=".AppleSystemUIFont Regular"/>
          <w:szCs w:val="18"/>
          <w:lang w:val="en-GB"/>
        </w:rPr>
        <w:t>.</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Adger</w:t>
      </w:r>
      <w:proofErr w:type="spellEnd"/>
      <w:r w:rsidRPr="003B1C76">
        <w:rPr>
          <w:rFonts w:ascii="Book Antiqua" w:eastAsia=".AppleSystemUIFont Regular" w:hAnsi="Book Antiqua" w:cs=".AppleSystemUIFont Regular"/>
          <w:szCs w:val="18"/>
          <w:lang w:val="en-GB"/>
        </w:rPr>
        <w:t xml:space="preserve">, W. N. (2000). Social and ecological resilience: Are they related? </w:t>
      </w:r>
      <w:r w:rsidRPr="003B1C76">
        <w:rPr>
          <w:rFonts w:ascii="Book Antiqua" w:eastAsia=".AppleSystemUIFont Regular" w:hAnsi="Book Antiqua" w:cs=".AppleSystemUIFont Regular"/>
          <w:i/>
          <w:szCs w:val="18"/>
          <w:lang w:val="en-GB"/>
        </w:rPr>
        <w:t>Progress in Human Geography</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24</w:t>
      </w:r>
      <w:r w:rsidRPr="003B1C76">
        <w:rPr>
          <w:rFonts w:ascii="Book Antiqua" w:eastAsia=".AppleSystemUIFont Regular" w:hAnsi="Book Antiqua" w:cs=".AppleSystemUIFont Regular"/>
          <w:szCs w:val="18"/>
          <w:lang w:val="en-GB"/>
        </w:rPr>
        <w:t xml:space="preserve">(3), 347–364. </w:t>
      </w:r>
      <w:hyperlink r:id="rId21" w:history="1">
        <w:r w:rsidRPr="003B1C76">
          <w:rPr>
            <w:rStyle w:val="16"/>
            <w:rFonts w:ascii="Book Antiqua" w:eastAsia=".AppleSystemUIFont Regular" w:hAnsi="Book Antiqua" w:cs=".AppleSystemUIFont Regular"/>
            <w:szCs w:val="18"/>
            <w:lang w:val="en-GB"/>
          </w:rPr>
          <w:t>https://doi.org/10.1191/030913200701540465</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Adger</w:t>
      </w:r>
      <w:proofErr w:type="spellEnd"/>
      <w:r w:rsidRPr="003B1C76">
        <w:rPr>
          <w:rFonts w:ascii="Book Antiqua" w:eastAsia=".AppleSystemUIFont Regular" w:hAnsi="Book Antiqua" w:cs=".AppleSystemUIFont Regular"/>
          <w:szCs w:val="18"/>
          <w:lang w:val="en-GB"/>
        </w:rPr>
        <w:t xml:space="preserve">, W.N., S. </w:t>
      </w:r>
      <w:proofErr w:type="spellStart"/>
      <w:r w:rsidRPr="003B1C76">
        <w:rPr>
          <w:rFonts w:ascii="Book Antiqua" w:eastAsia=".AppleSystemUIFont Regular" w:hAnsi="Book Antiqua" w:cs=".AppleSystemUIFont Regular"/>
          <w:szCs w:val="18"/>
          <w:lang w:val="en-GB"/>
        </w:rPr>
        <w:t>Agrawala</w:t>
      </w:r>
      <w:proofErr w:type="spellEnd"/>
      <w:r w:rsidRPr="003B1C76">
        <w:rPr>
          <w:rFonts w:ascii="Book Antiqua" w:eastAsia=".AppleSystemUIFont Regular" w:hAnsi="Book Antiqua" w:cs=".AppleSystemUIFont Regular"/>
          <w:szCs w:val="18"/>
          <w:lang w:val="en-GB"/>
        </w:rPr>
        <w:t xml:space="preserve">, M.M.Q. Mirza, C. Conde, K. O’Brien, J. </w:t>
      </w:r>
      <w:proofErr w:type="spellStart"/>
      <w:r w:rsidRPr="003B1C76">
        <w:rPr>
          <w:rFonts w:ascii="Book Antiqua" w:eastAsia=".AppleSystemUIFont Regular" w:hAnsi="Book Antiqua" w:cs=".AppleSystemUIFont Regular"/>
          <w:szCs w:val="18"/>
          <w:lang w:val="en-GB"/>
        </w:rPr>
        <w:t>Pulhin</w:t>
      </w:r>
      <w:proofErr w:type="spellEnd"/>
      <w:r w:rsidRPr="003B1C76">
        <w:rPr>
          <w:rFonts w:ascii="Book Antiqua" w:eastAsia=".AppleSystemUIFont Regular" w:hAnsi="Book Antiqua" w:cs=".AppleSystemUIFont Regular"/>
          <w:szCs w:val="18"/>
          <w:lang w:val="en-GB"/>
        </w:rPr>
        <w:t xml:space="preserve">, R. </w:t>
      </w:r>
      <w:proofErr w:type="spellStart"/>
      <w:r w:rsidRPr="003B1C76">
        <w:rPr>
          <w:rFonts w:ascii="Book Antiqua" w:eastAsia=".AppleSystemUIFont Regular" w:hAnsi="Book Antiqua" w:cs=".AppleSystemUIFont Regular"/>
          <w:szCs w:val="18"/>
          <w:lang w:val="en-GB"/>
        </w:rPr>
        <w:t>Pulwarty</w:t>
      </w:r>
      <w:proofErr w:type="spellEnd"/>
      <w:r w:rsidRPr="003B1C76">
        <w:rPr>
          <w:rFonts w:ascii="Book Antiqua" w:eastAsia=".AppleSystemUIFont Regular" w:hAnsi="Book Antiqua" w:cs=".AppleSystemUIFont Regular"/>
          <w:szCs w:val="18"/>
          <w:lang w:val="en-GB"/>
        </w:rPr>
        <w:t xml:space="preserve">, B. Smit and K. Takahashi. (2007). Climate change 2007: Impacts, adaptation and vulnerability. Contribution of working group II to the Fourth Assessment Report of the Intergovernmental Panel on Climate Change. In M.L. Parry, O.F. </w:t>
      </w:r>
      <w:proofErr w:type="spellStart"/>
      <w:r w:rsidRPr="003B1C76">
        <w:rPr>
          <w:rFonts w:ascii="Book Antiqua" w:eastAsia=".AppleSystemUIFont Regular" w:hAnsi="Book Antiqua" w:cs=".AppleSystemUIFont Regular"/>
          <w:szCs w:val="18"/>
          <w:lang w:val="en-GB"/>
        </w:rPr>
        <w:t>Canziani</w:t>
      </w:r>
      <w:proofErr w:type="spellEnd"/>
      <w:r w:rsidRPr="003B1C76">
        <w:rPr>
          <w:rFonts w:ascii="Book Antiqua" w:eastAsia=".AppleSystemUIFont Regular" w:hAnsi="Book Antiqua" w:cs=".AppleSystemUIFont Regular"/>
          <w:szCs w:val="18"/>
          <w:lang w:val="en-GB"/>
        </w:rPr>
        <w:t xml:space="preserve">, J.P. </w:t>
      </w:r>
      <w:proofErr w:type="spellStart"/>
      <w:r w:rsidRPr="003B1C76">
        <w:rPr>
          <w:rFonts w:ascii="Book Antiqua" w:eastAsia=".AppleSystemUIFont Regular" w:hAnsi="Book Antiqua" w:cs=".AppleSystemUIFont Regular"/>
          <w:szCs w:val="18"/>
          <w:lang w:val="en-GB"/>
        </w:rPr>
        <w:t>Palutikof</w:t>
      </w:r>
      <w:proofErr w:type="spellEnd"/>
      <w:r w:rsidRPr="003B1C76">
        <w:rPr>
          <w:rFonts w:ascii="Book Antiqua" w:eastAsia=".AppleSystemUIFont Regular" w:hAnsi="Book Antiqua" w:cs=".AppleSystemUIFont Regular"/>
          <w:szCs w:val="18"/>
          <w:lang w:val="en-GB"/>
        </w:rPr>
        <w:t xml:space="preserve">, P.J. van der Linden and C.E. Hanson, Eds, </w:t>
      </w:r>
      <w:r w:rsidRPr="003B1C76">
        <w:rPr>
          <w:rFonts w:ascii="Book Antiqua" w:eastAsia=".AppleSystemUIFont Regular" w:hAnsi="Book Antiqua" w:cs=".AppleSystemUIFont Regular"/>
          <w:i/>
          <w:szCs w:val="18"/>
          <w:lang w:val="en-GB"/>
        </w:rPr>
        <w:t>Assessment of adaptation practices, options, constraints and capacity</w:t>
      </w:r>
      <w:r w:rsidRPr="003B1C76">
        <w:rPr>
          <w:rFonts w:ascii="Book Antiqua" w:eastAsia=".AppleSystemUIFont Regular" w:hAnsi="Book Antiqua" w:cs=".AppleSystemUIFont Regular"/>
          <w:szCs w:val="18"/>
          <w:lang w:val="en-GB"/>
        </w:rPr>
        <w:t>. Cambridge University Press, Cambridge, UK, 717-743.</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Aiello, F., </w:t>
      </w:r>
      <w:proofErr w:type="spellStart"/>
      <w:r w:rsidRPr="003B1C76">
        <w:rPr>
          <w:rFonts w:ascii="Book Antiqua" w:eastAsia=".AppleSystemUIFont Regular" w:hAnsi="Book Antiqua" w:cs=".AppleSystemUIFont Regular"/>
          <w:szCs w:val="18"/>
          <w:lang w:val="en-GB"/>
        </w:rPr>
        <w:t>Bonanno</w:t>
      </w:r>
      <w:proofErr w:type="spellEnd"/>
      <w:r w:rsidRPr="003B1C76">
        <w:rPr>
          <w:rFonts w:ascii="Book Antiqua" w:eastAsia=".AppleSystemUIFont Regular" w:hAnsi="Book Antiqua" w:cs=".AppleSystemUIFont Regular"/>
          <w:szCs w:val="18"/>
          <w:lang w:val="en-GB"/>
        </w:rPr>
        <w:t xml:space="preserve">, G., &amp; </w:t>
      </w:r>
      <w:proofErr w:type="spellStart"/>
      <w:r w:rsidRPr="003B1C76">
        <w:rPr>
          <w:rFonts w:ascii="Book Antiqua" w:eastAsia=".AppleSystemUIFont Regular" w:hAnsi="Book Antiqua" w:cs=".AppleSystemUIFont Regular"/>
          <w:szCs w:val="18"/>
          <w:lang w:val="en-GB"/>
        </w:rPr>
        <w:t>Foglia</w:t>
      </w:r>
      <w:proofErr w:type="spellEnd"/>
      <w:r w:rsidRPr="003B1C76">
        <w:rPr>
          <w:rFonts w:ascii="Book Antiqua" w:eastAsia=".AppleSystemUIFont Regular" w:hAnsi="Book Antiqua" w:cs=".AppleSystemUIFont Regular"/>
          <w:szCs w:val="18"/>
          <w:lang w:val="en-GB"/>
        </w:rPr>
        <w:t xml:space="preserve">, F. (2020). On the choice of accommodation type at the time of COVID-19. Some evidence from the Italian tourism sector. </w:t>
      </w:r>
      <w:r w:rsidRPr="003B1C76">
        <w:rPr>
          <w:rFonts w:ascii="Book Antiqua" w:eastAsia=".AppleSystemUIFont Regular" w:hAnsi="Book Antiqua" w:cs=".AppleSystemUIFont Regular"/>
          <w:i/>
          <w:szCs w:val="18"/>
          <w:lang w:val="en-GB"/>
        </w:rPr>
        <w:t>Current Issues in Tourism</w:t>
      </w:r>
      <w:r w:rsidRPr="003B1C76">
        <w:rPr>
          <w:rFonts w:ascii="Book Antiqua" w:eastAsia=".AppleSystemUIFont Regular" w:hAnsi="Book Antiqua" w:cs=".AppleSystemUIFont Regular"/>
          <w:szCs w:val="18"/>
          <w:lang w:val="en-GB"/>
        </w:rPr>
        <w:t xml:space="preserve">, 1–5. </w:t>
      </w:r>
      <w:hyperlink r:id="rId22" w:history="1">
        <w:r w:rsidRPr="003B1C76">
          <w:rPr>
            <w:rStyle w:val="16"/>
            <w:rFonts w:ascii="Book Antiqua" w:eastAsia=".AppleSystemUIFont Regular" w:hAnsi="Book Antiqua" w:cs=".AppleSystemUIFont Regular"/>
            <w:szCs w:val="18"/>
            <w:lang w:val="en-GB"/>
          </w:rPr>
          <w:t>https://doi.org/10.1080/13683500.2020.1846504</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Aitchison, C. C. (2005). Feminist and gender perspectives in tourism studies: The social-cultural nexus of critical and cultural theories. </w:t>
      </w:r>
      <w:r w:rsidRPr="003B1C76">
        <w:rPr>
          <w:rFonts w:ascii="Book Antiqua" w:eastAsia=".AppleSystemUIFont Regular" w:hAnsi="Book Antiqua" w:cs=".AppleSystemUIFont Regular"/>
          <w:i/>
          <w:szCs w:val="18"/>
          <w:lang w:val="en-GB"/>
        </w:rPr>
        <w:t>Tourist Studies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5</w:t>
      </w:r>
      <w:r w:rsidRPr="003B1C76">
        <w:rPr>
          <w:rFonts w:ascii="Book Antiqua" w:eastAsia=".AppleSystemUIFont Regular" w:hAnsi="Book Antiqua" w:cs=".AppleSystemUIFont Regular"/>
          <w:szCs w:val="18"/>
          <w:lang w:val="en-GB"/>
        </w:rPr>
        <w:t xml:space="preserve">(3), 207–224. </w:t>
      </w:r>
      <w:hyperlink r:id="rId23" w:history="1">
        <w:r w:rsidRPr="003B1C76">
          <w:rPr>
            <w:rStyle w:val="16"/>
            <w:rFonts w:ascii="Book Antiqua" w:eastAsia=".AppleSystemUIFont Regular" w:hAnsi="Book Antiqua" w:cs=".AppleSystemUIFont Regular"/>
            <w:szCs w:val="18"/>
            <w:lang w:val="en-GB"/>
          </w:rPr>
          <w:t>https://doi.org/10.1177/1468797605070330</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Alarcón</w:t>
      </w:r>
      <w:proofErr w:type="spellEnd"/>
      <w:r w:rsidRPr="003B1C76">
        <w:rPr>
          <w:rFonts w:ascii="Book Antiqua" w:eastAsia=".AppleSystemUIFont Regular" w:hAnsi="Book Antiqua" w:cs=".AppleSystemUIFont Regular"/>
          <w:szCs w:val="18"/>
          <w:lang w:val="en-GB"/>
        </w:rPr>
        <w:t xml:space="preserve">, D. M., &amp; Cole, S. (2019). No sustainability for tourism without gender equality. </w:t>
      </w:r>
      <w:r w:rsidRPr="003B1C76">
        <w:rPr>
          <w:rFonts w:ascii="Book Antiqua" w:eastAsia=".AppleSystemUIFont Regular" w:hAnsi="Book Antiqua" w:cs=".AppleSystemUIFont Regular"/>
          <w:i/>
          <w:szCs w:val="18"/>
          <w:lang w:val="en-GB"/>
        </w:rPr>
        <w:t>Journal of Sustainable Tourism</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27</w:t>
      </w:r>
      <w:r w:rsidRPr="003B1C76">
        <w:rPr>
          <w:rFonts w:ascii="Book Antiqua" w:eastAsia=".AppleSystemUIFont Regular" w:hAnsi="Book Antiqua" w:cs=".AppleSystemUIFont Regular"/>
          <w:szCs w:val="18"/>
          <w:lang w:val="en-GB"/>
        </w:rPr>
        <w:t xml:space="preserve">(7), 903–919. </w:t>
      </w:r>
      <w:hyperlink r:id="rId24" w:history="1">
        <w:r w:rsidRPr="003B1C76">
          <w:rPr>
            <w:rStyle w:val="16"/>
            <w:rFonts w:ascii="Book Antiqua" w:eastAsia=".AppleSystemUIFont Regular" w:hAnsi="Book Antiqua" w:cs=".AppleSystemUIFont Regular"/>
            <w:szCs w:val="18"/>
            <w:lang w:val="en-GB"/>
          </w:rPr>
          <w:t>https://doi.org/10.1080/09669582.2019.1588283</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Ateljevic</w:t>
      </w:r>
      <w:proofErr w:type="spellEnd"/>
      <w:r w:rsidRPr="003B1C76">
        <w:rPr>
          <w:rFonts w:ascii="Book Antiqua" w:eastAsia=".AppleSystemUIFont Regular" w:hAnsi="Book Antiqua" w:cs=".AppleSystemUIFont Regular"/>
          <w:szCs w:val="18"/>
          <w:lang w:val="en-GB"/>
        </w:rPr>
        <w:t xml:space="preserve">, I. (2020). Transforming the (tourism) world for good and (re)generating the potential ‘new normal.’ </w:t>
      </w:r>
      <w:r w:rsidRPr="003B1C76">
        <w:rPr>
          <w:rFonts w:ascii="Book Antiqua" w:eastAsia=".AppleSystemUIFont Regular" w:hAnsi="Book Antiqua" w:cs=".AppleSystemUIFont Regular"/>
          <w:i/>
          <w:szCs w:val="18"/>
          <w:lang w:val="en-GB"/>
        </w:rPr>
        <w:t>Tourism Geographies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22</w:t>
      </w:r>
      <w:r w:rsidRPr="003B1C76">
        <w:rPr>
          <w:rFonts w:ascii="Book Antiqua" w:eastAsia=".AppleSystemUIFont Regular" w:hAnsi="Book Antiqua" w:cs=".AppleSystemUIFont Regular"/>
          <w:szCs w:val="18"/>
          <w:lang w:val="en-GB"/>
        </w:rPr>
        <w:t xml:space="preserve">(3), 467–475. </w:t>
      </w:r>
      <w:hyperlink r:id="rId25" w:history="1">
        <w:r w:rsidRPr="003B1C76">
          <w:rPr>
            <w:rStyle w:val="16"/>
            <w:rFonts w:ascii="Book Antiqua" w:eastAsia=".AppleSystemUIFont Regular" w:hAnsi="Book Antiqua" w:cs=".AppleSystemUIFont Regular"/>
            <w:szCs w:val="18"/>
            <w:lang w:val="en-GB"/>
          </w:rPr>
          <w:t>https://doi.org/10.1080/14616688.2020.1759134</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Amir, A. F., </w:t>
      </w:r>
      <w:proofErr w:type="spellStart"/>
      <w:r w:rsidRPr="003B1C76">
        <w:rPr>
          <w:rFonts w:ascii="Book Antiqua" w:eastAsia=".AppleSystemUIFont Regular" w:hAnsi="Book Antiqua" w:cs=".AppleSystemUIFont Regular"/>
          <w:szCs w:val="18"/>
          <w:lang w:val="en-GB"/>
        </w:rPr>
        <w:t>Ghapar</w:t>
      </w:r>
      <w:proofErr w:type="spellEnd"/>
      <w:r w:rsidRPr="003B1C76">
        <w:rPr>
          <w:rFonts w:ascii="Book Antiqua" w:eastAsia=".AppleSystemUIFont Regular" w:hAnsi="Book Antiqua" w:cs=".AppleSystemUIFont Regular"/>
          <w:szCs w:val="18"/>
          <w:lang w:val="en-GB"/>
        </w:rPr>
        <w:t xml:space="preserve">, A. A., Jamal, S. A., &amp; Ahmad, K. N. (2015). Sustainable tourism development: A study on community resilience for rural tourism in Malaysia. </w:t>
      </w:r>
      <w:r w:rsidRPr="003B1C76">
        <w:rPr>
          <w:rFonts w:ascii="Book Antiqua" w:eastAsia=".AppleSystemUIFont Regular" w:hAnsi="Book Antiqua" w:cs=".AppleSystemUIFont Regular"/>
          <w:i/>
          <w:szCs w:val="18"/>
          <w:lang w:val="en-GB"/>
        </w:rPr>
        <w:t xml:space="preserve">Procedia - Social and </w:t>
      </w:r>
      <w:proofErr w:type="spellStart"/>
      <w:r w:rsidRPr="003B1C76">
        <w:rPr>
          <w:rFonts w:ascii="Book Antiqua" w:eastAsia=".AppleSystemUIFont Regular" w:hAnsi="Book Antiqua" w:cs=".AppleSystemUIFont Regular"/>
          <w:i/>
          <w:szCs w:val="18"/>
          <w:lang w:val="en-GB"/>
        </w:rPr>
        <w:t>Behavioral</w:t>
      </w:r>
      <w:proofErr w:type="spellEnd"/>
      <w:r w:rsidRPr="003B1C76">
        <w:rPr>
          <w:rFonts w:ascii="Book Antiqua" w:eastAsia=".AppleSystemUIFont Regular" w:hAnsi="Book Antiqua" w:cs=".AppleSystemUIFont Regular"/>
          <w:i/>
          <w:szCs w:val="18"/>
          <w:lang w:val="en-GB"/>
        </w:rPr>
        <w:t xml:space="preserve"> Sciences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szCs w:val="18"/>
          <w:lang w:val="en-GB"/>
        </w:rPr>
        <w:t>168</w:t>
      </w:r>
      <w:r w:rsidRPr="003B1C76">
        <w:rPr>
          <w:rFonts w:ascii="Book Antiqua" w:eastAsia=".AppleSystemUIFont Regular" w:hAnsi="Book Antiqua" w:cs=".AppleSystemUIFont Regular"/>
          <w:szCs w:val="18"/>
          <w:lang w:val="en-GB"/>
        </w:rPr>
        <w:t xml:space="preserve">, 116–122. </w:t>
      </w:r>
      <w:hyperlink r:id="rId26" w:history="1">
        <w:r w:rsidRPr="003B1C76">
          <w:rPr>
            <w:rStyle w:val="16"/>
            <w:rFonts w:ascii="Book Antiqua" w:eastAsia=".AppleSystemUIFont Regular" w:hAnsi="Book Antiqua" w:cs=".AppleSystemUIFont Regular"/>
            <w:szCs w:val="18"/>
            <w:lang w:val="en-GB"/>
          </w:rPr>
          <w:t>https://doi.org/10.1016/j.sbspro.2014.10.217</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Bec, A., McLennan, C. L., &amp; Moyle, B. D. (2015). Community resilience to long- term tourism decline and rejuvenation: A literature review and conceptual model. </w:t>
      </w:r>
      <w:r w:rsidRPr="003B1C76">
        <w:rPr>
          <w:rFonts w:ascii="Book Antiqua" w:eastAsia=".AppleSystemUIFont Regular" w:hAnsi="Book Antiqua" w:cs=".AppleSystemUIFont Regular"/>
          <w:i/>
          <w:szCs w:val="18"/>
          <w:lang w:val="en-GB"/>
        </w:rPr>
        <w:t>Current Issues in Tourism</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19</w:t>
      </w:r>
      <w:r w:rsidRPr="003B1C76">
        <w:rPr>
          <w:rFonts w:ascii="Book Antiqua" w:eastAsia=".AppleSystemUIFont Regular" w:hAnsi="Book Antiqua" w:cs=".AppleSystemUIFont Regular"/>
          <w:szCs w:val="18"/>
          <w:lang w:val="en-GB"/>
        </w:rPr>
        <w:t xml:space="preserve">(5), 431–457. </w:t>
      </w:r>
      <w:hyperlink r:id="rId27" w:history="1">
        <w:r w:rsidRPr="003B1C76">
          <w:rPr>
            <w:rStyle w:val="16"/>
            <w:rFonts w:ascii="Book Antiqua" w:eastAsia=".AppleSystemUIFont Regular" w:hAnsi="Book Antiqua" w:cs=".AppleSystemUIFont Regular"/>
            <w:szCs w:val="18"/>
            <w:lang w:val="en-GB"/>
          </w:rPr>
          <w:t>https://doi.org/10.1080/13683500.2015.1083538</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Becken</w:t>
      </w:r>
      <w:proofErr w:type="spellEnd"/>
      <w:r w:rsidRPr="003B1C76">
        <w:rPr>
          <w:rFonts w:ascii="Book Antiqua" w:eastAsia=".AppleSystemUIFont Regular" w:hAnsi="Book Antiqua" w:cs=".AppleSystemUIFont Regular"/>
          <w:szCs w:val="18"/>
          <w:lang w:val="en-GB"/>
        </w:rPr>
        <w:t xml:space="preserve">, S. (2013). Developing a framework for assessing resilience of tourism sub-systems to climatic factors.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szCs w:val="18"/>
          <w:lang w:val="en-GB"/>
        </w:rPr>
        <w:t>43</w:t>
      </w:r>
      <w:r w:rsidRPr="003B1C76">
        <w:rPr>
          <w:rFonts w:ascii="Book Antiqua" w:eastAsia=".AppleSystemUIFont Regular" w:hAnsi="Book Antiqua" w:cs=".AppleSystemUIFont Regular"/>
          <w:szCs w:val="18"/>
          <w:lang w:val="en-GB"/>
        </w:rPr>
        <w:t xml:space="preserve">, 506–528. </w:t>
      </w:r>
      <w:hyperlink r:id="rId28" w:history="1">
        <w:r w:rsidRPr="003B1C76">
          <w:rPr>
            <w:rStyle w:val="16"/>
            <w:rFonts w:ascii="Book Antiqua" w:eastAsia=".AppleSystemUIFont Regular" w:hAnsi="Book Antiqua" w:cs=".AppleSystemUIFont Regular"/>
            <w:szCs w:val="18"/>
            <w:lang w:val="en-GB"/>
          </w:rPr>
          <w:t>https://doi.org/10.1016/j.annals.2013.06.002</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Berdychevsky</w:t>
      </w:r>
      <w:proofErr w:type="spellEnd"/>
      <w:r w:rsidRPr="003B1C76">
        <w:rPr>
          <w:rFonts w:ascii="Book Antiqua" w:eastAsia=".AppleSystemUIFont Regular" w:hAnsi="Book Antiqua" w:cs=".AppleSystemUIFont Regular"/>
          <w:szCs w:val="18"/>
          <w:lang w:val="en-GB"/>
        </w:rPr>
        <w:t xml:space="preserve">, L., Gibson, H. J., &amp; Bell, H. L. (2013). Girlfriend getaways and Women’s well-being. </w:t>
      </w:r>
      <w:r w:rsidRPr="003B1C76">
        <w:rPr>
          <w:rFonts w:ascii="Book Antiqua" w:eastAsia=".AppleSystemUIFont Regular" w:hAnsi="Book Antiqua" w:cs=".AppleSystemUIFont Regular"/>
          <w:i/>
          <w:szCs w:val="18"/>
          <w:lang w:val="en-GB"/>
        </w:rPr>
        <w:t>Journal of Leisure Research</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45</w:t>
      </w:r>
      <w:r w:rsidRPr="003B1C76">
        <w:rPr>
          <w:rFonts w:ascii="Book Antiqua" w:eastAsia=".AppleSystemUIFont Regular" w:hAnsi="Book Antiqua" w:cs=".AppleSystemUIFont Regular"/>
          <w:szCs w:val="18"/>
          <w:lang w:val="en-GB"/>
        </w:rPr>
        <w:t xml:space="preserve">(5), 602–623. </w:t>
      </w:r>
      <w:hyperlink r:id="rId29" w:history="1">
        <w:r w:rsidRPr="003B1C76">
          <w:rPr>
            <w:rStyle w:val="16"/>
            <w:rFonts w:ascii="Book Antiqua" w:eastAsia=".AppleSystemUIFont Regular" w:hAnsi="Book Antiqua" w:cs=".AppleSystemUIFont Regular"/>
            <w:szCs w:val="18"/>
            <w:lang w:val="en-GB"/>
          </w:rPr>
          <w:t>https://doi.org/10.18666/jlr-2013-v45-i5-4365</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Berkes</w:t>
      </w:r>
      <w:proofErr w:type="spellEnd"/>
      <w:r w:rsidRPr="003B1C76">
        <w:rPr>
          <w:rFonts w:ascii="Book Antiqua" w:eastAsia=".AppleSystemUIFont Regular" w:hAnsi="Book Antiqua" w:cs=".AppleSystemUIFont Regular"/>
          <w:szCs w:val="18"/>
          <w:lang w:val="en-GB"/>
        </w:rPr>
        <w:t xml:space="preserve">, F., &amp; </w:t>
      </w:r>
      <w:proofErr w:type="spellStart"/>
      <w:r w:rsidRPr="003B1C76">
        <w:rPr>
          <w:rFonts w:ascii="Book Antiqua" w:eastAsia=".AppleSystemUIFont Regular" w:hAnsi="Book Antiqua" w:cs=".AppleSystemUIFont Regular"/>
          <w:szCs w:val="18"/>
          <w:lang w:val="en-GB"/>
        </w:rPr>
        <w:t>Seixas</w:t>
      </w:r>
      <w:proofErr w:type="spellEnd"/>
      <w:r w:rsidRPr="003B1C76">
        <w:rPr>
          <w:rFonts w:ascii="Book Antiqua" w:eastAsia=".AppleSystemUIFont Regular" w:hAnsi="Book Antiqua" w:cs=".AppleSystemUIFont Regular"/>
          <w:szCs w:val="18"/>
          <w:lang w:val="en-GB"/>
        </w:rPr>
        <w:t xml:space="preserve">, C. S. (2005). Building resilience in lagoon social-ecological systems: A local-level perspective. </w:t>
      </w:r>
      <w:r w:rsidRPr="003B1C76">
        <w:rPr>
          <w:rFonts w:ascii="Book Antiqua" w:eastAsia=".AppleSystemUIFont Regular" w:hAnsi="Book Antiqua" w:cs=".AppleSystemUIFont Regular"/>
          <w:i/>
          <w:szCs w:val="18"/>
          <w:lang w:val="en-GB"/>
        </w:rPr>
        <w:t>Ecosystems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8</w:t>
      </w:r>
      <w:r w:rsidRPr="003B1C76">
        <w:rPr>
          <w:rFonts w:ascii="Book Antiqua" w:eastAsia=".AppleSystemUIFont Regular" w:hAnsi="Book Antiqua" w:cs=".AppleSystemUIFont Regular"/>
          <w:szCs w:val="18"/>
          <w:lang w:val="en-GB"/>
        </w:rPr>
        <w:t xml:space="preserve">(8), 967–974. </w:t>
      </w:r>
      <w:hyperlink r:id="rId30" w:history="1">
        <w:r w:rsidRPr="003B1C76">
          <w:rPr>
            <w:rStyle w:val="16"/>
            <w:rFonts w:ascii="Book Antiqua" w:eastAsia=".AppleSystemUIFont Regular" w:hAnsi="Book Antiqua" w:cs=".AppleSystemUIFont Regular"/>
            <w:szCs w:val="18"/>
            <w:lang w:val="en-GB"/>
          </w:rPr>
          <w:t>https://doi.org/10.1007/s10021-005-0140-4</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Bidegain</w:t>
      </w:r>
      <w:proofErr w:type="spellEnd"/>
      <w:r w:rsidRPr="003B1C76">
        <w:rPr>
          <w:rFonts w:ascii="Book Antiqua" w:eastAsia=".AppleSystemUIFont Regular" w:hAnsi="Book Antiqua" w:cs=".AppleSystemUIFont Regular"/>
          <w:szCs w:val="18"/>
          <w:lang w:val="en-GB"/>
        </w:rPr>
        <w:t xml:space="preserve"> Ponte, N., &amp; </w:t>
      </w:r>
      <w:proofErr w:type="spellStart"/>
      <w:r w:rsidRPr="003B1C76">
        <w:rPr>
          <w:rFonts w:ascii="Book Antiqua" w:eastAsia=".AppleSystemUIFont Regular" w:hAnsi="Book Antiqua" w:cs=".AppleSystemUIFont Regular"/>
          <w:szCs w:val="18"/>
          <w:lang w:val="en-GB"/>
        </w:rPr>
        <w:t>Enríquez</w:t>
      </w:r>
      <w:proofErr w:type="spellEnd"/>
      <w:r w:rsidRPr="003B1C76">
        <w:rPr>
          <w:rFonts w:ascii="Book Antiqua" w:eastAsia=".AppleSystemUIFont Regular" w:hAnsi="Book Antiqua" w:cs=".AppleSystemUIFont Regular"/>
          <w:szCs w:val="18"/>
          <w:lang w:val="en-GB"/>
        </w:rPr>
        <w:t xml:space="preserve">, C. R. (2016). Agenda 2030: A bold enough framework towards sustainable, gender-just development? </w:t>
      </w:r>
      <w:r w:rsidRPr="003B1C76">
        <w:rPr>
          <w:rFonts w:ascii="Book Antiqua" w:eastAsia=".AppleSystemUIFont Regular" w:hAnsi="Book Antiqua" w:cs=".AppleSystemUIFont Regular"/>
          <w:i/>
          <w:szCs w:val="18"/>
          <w:lang w:val="en-GB"/>
        </w:rPr>
        <w:t>Gender and Development</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24</w:t>
      </w:r>
      <w:r w:rsidRPr="003B1C76">
        <w:rPr>
          <w:rFonts w:ascii="Book Antiqua" w:eastAsia=".AppleSystemUIFont Regular" w:hAnsi="Book Antiqua" w:cs=".AppleSystemUIFont Regular"/>
          <w:szCs w:val="18"/>
          <w:lang w:val="en-GB"/>
        </w:rPr>
        <w:t xml:space="preserve">(1), 83–98. </w:t>
      </w:r>
      <w:hyperlink r:id="rId31" w:history="1">
        <w:r w:rsidRPr="003B1C76">
          <w:rPr>
            <w:rStyle w:val="16"/>
            <w:rFonts w:ascii="Book Antiqua" w:eastAsia=".AppleSystemUIFont Regular" w:hAnsi="Book Antiqua" w:cs=".AppleSystemUIFont Regular"/>
            <w:szCs w:val="18"/>
            <w:lang w:val="en-GB"/>
          </w:rPr>
          <w:t>https://doi.org/10.1080/13552074.2016.1142227</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Brace, C. &amp; Geoghegan, H. (2010). Human geographies of climate change: Landscape, temporality, and lay knowledges. </w:t>
      </w:r>
      <w:r w:rsidRPr="003B1C76">
        <w:rPr>
          <w:rFonts w:ascii="Book Antiqua" w:eastAsia=".AppleSystemUIFont Regular" w:hAnsi="Book Antiqua" w:cs=".AppleSystemUIFont Regular"/>
          <w:i/>
          <w:szCs w:val="18"/>
          <w:lang w:val="en-GB"/>
        </w:rPr>
        <w:t>Progress in Human Geography,</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35</w:t>
      </w:r>
      <w:r w:rsidRPr="003B1C76">
        <w:rPr>
          <w:rFonts w:ascii="Book Antiqua" w:eastAsia=".AppleSystemUIFont Regular" w:hAnsi="Book Antiqua" w:cs=".AppleSystemUIFont Regular"/>
          <w:szCs w:val="18"/>
          <w:lang w:val="en-GB"/>
        </w:rPr>
        <w:t>(3), 284–302.</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lastRenderedPageBreak/>
        <w:t xml:space="preserve">Braun, V., &amp; Clarke, V. (2019). Reflecting on reflexive thematic analysis. </w:t>
      </w:r>
      <w:r w:rsidRPr="003B1C76">
        <w:rPr>
          <w:rFonts w:ascii="Book Antiqua" w:eastAsia=".AppleSystemUIFont Regular" w:hAnsi="Book Antiqua" w:cs=".AppleSystemUIFont Regular"/>
          <w:i/>
          <w:szCs w:val="18"/>
          <w:lang w:val="en-GB"/>
        </w:rPr>
        <w:t>Qualitative Research in Sport, Exercise and Health</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11</w:t>
      </w:r>
      <w:r w:rsidRPr="003B1C76">
        <w:rPr>
          <w:rFonts w:ascii="Book Antiqua" w:eastAsia=".AppleSystemUIFont Regular" w:hAnsi="Book Antiqua" w:cs=".AppleSystemUIFont Regular"/>
          <w:szCs w:val="18"/>
          <w:lang w:val="en-GB"/>
        </w:rPr>
        <w:t xml:space="preserve">(4), 589–597. </w:t>
      </w:r>
      <w:hyperlink r:id="rId32" w:history="1">
        <w:r w:rsidRPr="003B1C76">
          <w:rPr>
            <w:rStyle w:val="16"/>
            <w:rFonts w:ascii="Book Antiqua" w:eastAsia=".AppleSystemUIFont Regular" w:hAnsi="Book Antiqua" w:cs=".AppleSystemUIFont Regular"/>
            <w:szCs w:val="18"/>
            <w:lang w:val="en-GB"/>
          </w:rPr>
          <w:t>https://doi.org/10.1080/2159676X.2019.1628806</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Burrell, J., Manfredi, S., &amp; Rollin, H. (1997). Equal opportunities for women employees in the hospitality industry: A comparison between France, Italy, Spain and the UK. </w:t>
      </w:r>
      <w:r w:rsidRPr="003B1C76">
        <w:rPr>
          <w:rFonts w:ascii="Book Antiqua" w:eastAsia=".AppleSystemUIFont Regular" w:hAnsi="Book Antiqua" w:cs=".AppleSystemUIFont Regular"/>
          <w:i/>
          <w:szCs w:val="18"/>
          <w:lang w:val="en-GB"/>
        </w:rPr>
        <w:t>International Journal of Hospitality Management</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16</w:t>
      </w:r>
      <w:r w:rsidRPr="003B1C76">
        <w:rPr>
          <w:rFonts w:ascii="Book Antiqua" w:eastAsia=".AppleSystemUIFont Regular" w:hAnsi="Book Antiqua" w:cs=".AppleSystemUIFont Regular"/>
          <w:szCs w:val="18"/>
          <w:lang w:val="en-GB"/>
        </w:rPr>
        <w:t xml:space="preserve">(2), 161–179.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Burton, I., Huq, S., Lim, B., </w:t>
      </w:r>
      <w:proofErr w:type="spellStart"/>
      <w:r w:rsidRPr="003B1C76">
        <w:rPr>
          <w:rFonts w:ascii="Book Antiqua" w:eastAsia=".AppleSystemUIFont Regular" w:hAnsi="Book Antiqua" w:cs=".AppleSystemUIFont Regular"/>
          <w:szCs w:val="18"/>
          <w:lang w:val="en-GB"/>
        </w:rPr>
        <w:t>Pilifosova</w:t>
      </w:r>
      <w:proofErr w:type="spellEnd"/>
      <w:r w:rsidRPr="003B1C76">
        <w:rPr>
          <w:rFonts w:ascii="Book Antiqua" w:eastAsia=".AppleSystemUIFont Regular" w:hAnsi="Book Antiqua" w:cs=".AppleSystemUIFont Regular"/>
          <w:szCs w:val="18"/>
          <w:lang w:val="en-GB"/>
        </w:rPr>
        <w:t xml:space="preserve">, O., &amp; Schipper, E. L. (2002). From impacts assessment to adaptation priorities: The shaping of adaptation policy. </w:t>
      </w:r>
      <w:r w:rsidRPr="003B1C76">
        <w:rPr>
          <w:rFonts w:ascii="Book Antiqua" w:eastAsia=".AppleSystemUIFont Regular" w:hAnsi="Book Antiqua" w:cs=".AppleSystemUIFont Regular"/>
          <w:i/>
          <w:iCs/>
          <w:szCs w:val="18"/>
          <w:lang w:val="en-GB"/>
        </w:rPr>
        <w:t>Climate Policy</w:t>
      </w:r>
      <w:r w:rsidRPr="003B1C76">
        <w:rPr>
          <w:rFonts w:ascii="Book Antiqua" w:eastAsia=".AppleSystemUIFont Regular" w:hAnsi="Book Antiqua" w:cs=".AppleSystemUIFont Regular"/>
          <w:szCs w:val="18"/>
          <w:lang w:val="en-GB"/>
        </w:rPr>
        <w:t xml:space="preserve">, 2(2–3), 145–159. </w:t>
      </w:r>
      <w:hyperlink r:id="rId33" w:history="1">
        <w:r w:rsidRPr="003B1C76">
          <w:rPr>
            <w:rStyle w:val="16"/>
            <w:rFonts w:ascii="Book Antiqua" w:eastAsia=".AppleSystemUIFont Regular" w:hAnsi="Book Antiqua" w:cs=".AppleSystemUIFont Regular"/>
            <w:szCs w:val="18"/>
            <w:lang w:val="en-GB"/>
          </w:rPr>
          <w:t>https://doi.org/10.3763/cpol.2002.0217</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Butzer</w:t>
      </w:r>
      <w:proofErr w:type="spellEnd"/>
      <w:r w:rsidRPr="003B1C76">
        <w:rPr>
          <w:rFonts w:ascii="Book Antiqua" w:eastAsia=".AppleSystemUIFont Regular" w:hAnsi="Book Antiqua" w:cs=".AppleSystemUIFont Regular"/>
          <w:szCs w:val="18"/>
          <w:lang w:val="en-GB"/>
        </w:rPr>
        <w:t>, K.W. (1980). Adaptation to global environmental change.</w:t>
      </w:r>
      <w:r w:rsidRPr="003B1C76">
        <w:rPr>
          <w:rFonts w:ascii="Book Antiqua" w:eastAsia=".AppleSystemUIFont Regular" w:hAnsi="Book Antiqua" w:cs=".AppleSystemUIFont Regular"/>
          <w:i/>
          <w:szCs w:val="18"/>
          <w:lang w:val="en-GB"/>
        </w:rPr>
        <w:t xml:space="preserve"> The Professional Geographer</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32</w:t>
      </w:r>
      <w:r w:rsidRPr="003B1C76">
        <w:rPr>
          <w:rFonts w:ascii="Book Antiqua" w:eastAsia=".AppleSystemUIFont Regular" w:hAnsi="Book Antiqua" w:cs=".AppleSystemUIFont Regular"/>
          <w:szCs w:val="18"/>
          <w:lang w:val="en-GB"/>
        </w:rPr>
        <w:t>(3), 269-278.</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Buzinde</w:t>
      </w:r>
      <w:proofErr w:type="spellEnd"/>
      <w:r w:rsidRPr="003B1C76">
        <w:rPr>
          <w:rFonts w:ascii="Book Antiqua" w:eastAsia=".AppleSystemUIFont Regular" w:hAnsi="Book Antiqua" w:cs=".AppleSystemUIFont Regular"/>
          <w:szCs w:val="18"/>
          <w:lang w:val="en-GB"/>
        </w:rPr>
        <w:t xml:space="preserve">, C. N., Manuel-Navarrete, D., </w:t>
      </w:r>
      <w:proofErr w:type="spellStart"/>
      <w:r w:rsidRPr="003B1C76">
        <w:rPr>
          <w:rFonts w:ascii="Book Antiqua" w:eastAsia=".AppleSystemUIFont Regular" w:hAnsi="Book Antiqua" w:cs=".AppleSystemUIFont Regular"/>
          <w:szCs w:val="18"/>
          <w:lang w:val="en-GB"/>
        </w:rPr>
        <w:t>Kerstetter</w:t>
      </w:r>
      <w:proofErr w:type="spellEnd"/>
      <w:r w:rsidRPr="003B1C76">
        <w:rPr>
          <w:rFonts w:ascii="Book Antiqua" w:eastAsia=".AppleSystemUIFont Regular" w:hAnsi="Book Antiqua" w:cs=".AppleSystemUIFont Regular"/>
          <w:szCs w:val="18"/>
          <w:lang w:val="en-GB"/>
        </w:rPr>
        <w:t xml:space="preserve">, D., &amp; </w:t>
      </w:r>
      <w:proofErr w:type="spellStart"/>
      <w:r w:rsidRPr="003B1C76">
        <w:rPr>
          <w:rFonts w:ascii="Book Antiqua" w:eastAsia=".AppleSystemUIFont Regular" w:hAnsi="Book Antiqua" w:cs=".AppleSystemUIFont Regular"/>
          <w:szCs w:val="18"/>
          <w:lang w:val="en-GB"/>
        </w:rPr>
        <w:t>Redclift</w:t>
      </w:r>
      <w:proofErr w:type="spellEnd"/>
      <w:r w:rsidRPr="003B1C76">
        <w:rPr>
          <w:rFonts w:ascii="Book Antiqua" w:eastAsia=".AppleSystemUIFont Regular" w:hAnsi="Book Antiqua" w:cs=".AppleSystemUIFont Regular"/>
          <w:szCs w:val="18"/>
          <w:lang w:val="en-GB"/>
        </w:rPr>
        <w:t xml:space="preserve">, M. (2010). Representations and adaptation to climate change. </w:t>
      </w:r>
      <w:r w:rsidRPr="003B1C76">
        <w:rPr>
          <w:rFonts w:ascii="Book Antiqua" w:eastAsia=".AppleSystemUIFont Regular" w:hAnsi="Book Antiqua" w:cs=".AppleSystemUIFont Regular"/>
          <w:i/>
          <w:iCs/>
          <w:szCs w:val="18"/>
          <w:lang w:val="en-GB"/>
        </w:rPr>
        <w:t>Annals of Tourism Research</w:t>
      </w:r>
      <w:r w:rsidRPr="003B1C76">
        <w:rPr>
          <w:rFonts w:ascii="Book Antiqua" w:eastAsia=".AppleSystemUIFont Regular" w:hAnsi="Book Antiqua" w:cs=".AppleSystemUIFont Regular"/>
          <w:szCs w:val="18"/>
          <w:lang w:val="en-GB"/>
        </w:rPr>
        <w:t xml:space="preserve">, 37(3), 581–603. </w:t>
      </w:r>
      <w:hyperlink r:id="rId34" w:history="1">
        <w:r w:rsidRPr="003B1C76">
          <w:rPr>
            <w:rStyle w:val="16"/>
            <w:rFonts w:ascii="Book Antiqua" w:eastAsia=".AppleSystemUIFont Regular" w:hAnsi="Book Antiqua" w:cs=".AppleSystemUIFont Regular"/>
            <w:szCs w:val="18"/>
            <w:lang w:val="en-GB"/>
          </w:rPr>
          <w:t>https://doi.org/10.1016/j.annals.2009.10.018</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Calgaro</w:t>
      </w:r>
      <w:proofErr w:type="spellEnd"/>
      <w:r w:rsidRPr="003B1C76">
        <w:rPr>
          <w:rFonts w:ascii="Book Antiqua" w:eastAsia=".AppleSystemUIFont Regular" w:hAnsi="Book Antiqua" w:cs=".AppleSystemUIFont Regular"/>
          <w:szCs w:val="18"/>
          <w:lang w:val="en-GB"/>
        </w:rPr>
        <w:t xml:space="preserve">, E., Lloyd, K., &amp; </w:t>
      </w:r>
      <w:proofErr w:type="spellStart"/>
      <w:r w:rsidRPr="003B1C76">
        <w:rPr>
          <w:rFonts w:ascii="Book Antiqua" w:eastAsia=".AppleSystemUIFont Regular" w:hAnsi="Book Antiqua" w:cs=".AppleSystemUIFont Regular"/>
          <w:szCs w:val="18"/>
          <w:lang w:val="en-GB"/>
        </w:rPr>
        <w:t>Dominey</w:t>
      </w:r>
      <w:proofErr w:type="spellEnd"/>
      <w:r w:rsidRPr="003B1C76">
        <w:rPr>
          <w:rFonts w:ascii="Book Antiqua" w:eastAsia=".AppleSystemUIFont Regular" w:hAnsi="Book Antiqua" w:cs=".AppleSystemUIFont Regular"/>
          <w:szCs w:val="18"/>
          <w:lang w:val="en-GB"/>
        </w:rPr>
        <w:t xml:space="preserve">-Howes, D. (2014). From vulnerability to transformation: a framework for assessing the vulnerability and resilience of tourism destinations. </w:t>
      </w:r>
      <w:r w:rsidRPr="003B1C76">
        <w:rPr>
          <w:rFonts w:ascii="Book Antiqua" w:eastAsia=".AppleSystemUIFont Regular" w:hAnsi="Book Antiqua" w:cs=".AppleSystemUIFont Regular"/>
          <w:i/>
          <w:szCs w:val="18"/>
          <w:lang w:val="en-GB"/>
        </w:rPr>
        <w:t>Journal of Sustainable Tourism</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22</w:t>
      </w:r>
      <w:r w:rsidRPr="003B1C76">
        <w:rPr>
          <w:rFonts w:ascii="Book Antiqua" w:eastAsia=".AppleSystemUIFont Regular" w:hAnsi="Book Antiqua" w:cs=".AppleSystemUIFont Regular"/>
          <w:szCs w:val="18"/>
          <w:lang w:val="en-GB"/>
        </w:rPr>
        <w:t xml:space="preserve">(3), 341–360. </w:t>
      </w:r>
      <w:hyperlink r:id="rId35" w:history="1">
        <w:r w:rsidRPr="003B1C76">
          <w:rPr>
            <w:rStyle w:val="16"/>
            <w:rFonts w:ascii="Book Antiqua" w:eastAsia=".AppleSystemUIFont Regular" w:hAnsi="Book Antiqua" w:cs=".AppleSystemUIFont Regular"/>
            <w:szCs w:val="18"/>
            <w:lang w:val="en-GB"/>
          </w:rPr>
          <w:t>https://doi.org/10.1080/09669582.2013.826229</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Carr</w:t>
      </w:r>
      <w:proofErr w:type="spellEnd"/>
      <w:r w:rsidRPr="003B1C76">
        <w:rPr>
          <w:rFonts w:ascii="Book Antiqua" w:eastAsia=".AppleSystemUIFont Regular" w:hAnsi="Book Antiqua" w:cs=".AppleSystemUIFont Regular"/>
          <w:szCs w:val="18"/>
          <w:lang w:val="en-GB"/>
        </w:rPr>
        <w:t xml:space="preserve">, A. (2020). COVID-19, Indigenous peoples and tourism: a view from New Zealand. </w:t>
      </w:r>
      <w:r w:rsidRPr="003B1C76">
        <w:rPr>
          <w:rFonts w:ascii="Book Antiqua" w:eastAsia=".AppleSystemUIFont Regular" w:hAnsi="Book Antiqua" w:cs=".AppleSystemUIFont Regular"/>
          <w:i/>
          <w:szCs w:val="18"/>
          <w:lang w:val="en-GB"/>
        </w:rPr>
        <w:t>Tourism Geographies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22</w:t>
      </w:r>
      <w:r w:rsidRPr="003B1C76">
        <w:rPr>
          <w:rFonts w:ascii="Book Antiqua" w:eastAsia=".AppleSystemUIFont Regular" w:hAnsi="Book Antiqua" w:cs=".AppleSystemUIFont Regular"/>
          <w:szCs w:val="18"/>
          <w:lang w:val="en-GB"/>
        </w:rPr>
        <w:t xml:space="preserve">(3), 491–502. </w:t>
      </w:r>
      <w:hyperlink r:id="rId36" w:history="1">
        <w:r w:rsidRPr="003B1C76">
          <w:rPr>
            <w:rStyle w:val="16"/>
            <w:rFonts w:ascii="Book Antiqua" w:eastAsia=".AppleSystemUIFont Regular" w:hAnsi="Book Antiqua" w:cs=".AppleSystemUIFont Regular"/>
            <w:szCs w:val="18"/>
            <w:lang w:val="en-GB"/>
          </w:rPr>
          <w:t>https://doi.org/10.1080/14616688.2020.1768433</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Chan, J. (2021). </w:t>
      </w:r>
      <w:r w:rsidRPr="003B1C76">
        <w:rPr>
          <w:rFonts w:ascii="Book Antiqua" w:eastAsia=".AppleSystemUIFont Regular" w:hAnsi="Book Antiqua" w:cs=".AppleSystemUIFont Regular"/>
          <w:i/>
          <w:szCs w:val="18"/>
          <w:lang w:val="en-GB"/>
        </w:rPr>
        <w:t>Domestic tourism as a pathway to revive the tourism industry and business post the COVID-19 pandemic</w:t>
      </w:r>
      <w:r w:rsidRPr="003B1C76">
        <w:rPr>
          <w:rFonts w:ascii="Book Antiqua" w:eastAsia=".AppleSystemUIFont Regular" w:hAnsi="Book Antiqua" w:cs=".AppleSystemUIFont Regular"/>
          <w:szCs w:val="18"/>
          <w:lang w:val="en-GB"/>
        </w:rPr>
        <w:t>. (ERIA Discussion Paper Series, Issue 392).</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Chen, S., Law, R., &amp; Zhang, M. (2020). Review of research on tourism-related diseases. </w:t>
      </w:r>
      <w:r w:rsidRPr="003B1C76">
        <w:rPr>
          <w:rFonts w:ascii="Book Antiqua" w:eastAsia=".AppleSystemUIFont Regular" w:hAnsi="Book Antiqua" w:cs=".AppleSystemUIFont Regular"/>
          <w:i/>
          <w:szCs w:val="18"/>
          <w:lang w:val="en-GB"/>
        </w:rPr>
        <w:t>Asia Pacific Journal of Tourism Research</w:t>
      </w:r>
      <w:r w:rsidRPr="003B1C76">
        <w:rPr>
          <w:rFonts w:ascii="Book Antiqua" w:eastAsia=".AppleSystemUIFont Regular" w:hAnsi="Book Antiqua" w:cs=".AppleSystemUIFont Regular"/>
          <w:szCs w:val="18"/>
          <w:lang w:val="en-GB"/>
        </w:rPr>
        <w:t xml:space="preserve">. </w:t>
      </w:r>
      <w:hyperlink r:id="rId37" w:history="1">
        <w:r w:rsidRPr="003B1C76">
          <w:rPr>
            <w:rStyle w:val="16"/>
            <w:rFonts w:ascii="Book Antiqua" w:eastAsia=".AppleSystemUIFont Regular" w:hAnsi="Book Antiqua" w:cs=".AppleSystemUIFont Regular"/>
            <w:szCs w:val="18"/>
            <w:lang w:val="en-GB"/>
          </w:rPr>
          <w:t>https://doi.org/10.1080/10941665.2020.1805478</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Chua, B.-L., Al-Ansi, A., Lee, M. J., &amp; Han, H. (2020). Impact of health risk perception on avoidance of international travel in the wake of a pandemic. </w:t>
      </w:r>
      <w:r w:rsidRPr="003B1C76">
        <w:rPr>
          <w:rFonts w:ascii="Book Antiqua" w:eastAsia=".AppleSystemUIFont Regular" w:hAnsi="Book Antiqua" w:cs=".AppleSystemUIFont Regular"/>
          <w:i/>
          <w:szCs w:val="18"/>
          <w:lang w:val="en-GB"/>
        </w:rPr>
        <w:t>Current Issues in Tourism</w:t>
      </w:r>
      <w:r w:rsidRPr="003B1C76">
        <w:rPr>
          <w:rFonts w:ascii="Book Antiqua" w:eastAsia=".AppleSystemUIFont Regular" w:hAnsi="Book Antiqua" w:cs=".AppleSystemUIFont Regular"/>
          <w:szCs w:val="18"/>
          <w:lang w:val="en-GB"/>
        </w:rPr>
        <w:t xml:space="preserve">, 1–18. </w:t>
      </w:r>
      <w:hyperlink r:id="rId38" w:history="1">
        <w:r w:rsidRPr="003B1C76">
          <w:rPr>
            <w:rStyle w:val="16"/>
            <w:rFonts w:ascii="Book Antiqua" w:eastAsia=".AppleSystemUIFont Regular" w:hAnsi="Book Antiqua" w:cs=".AppleSystemUIFont Regular"/>
            <w:szCs w:val="18"/>
            <w:lang w:val="en-GB"/>
          </w:rPr>
          <w:t>https://doi.org/10.1080/13683500.2020.1829570</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Cole, S. (Ed.). (2018). </w:t>
      </w:r>
      <w:r w:rsidRPr="003B1C76">
        <w:rPr>
          <w:rFonts w:ascii="Book Antiqua" w:eastAsia=".AppleSystemUIFont Regular" w:hAnsi="Book Antiqua" w:cs=".AppleSystemUIFont Regular"/>
          <w:i/>
          <w:szCs w:val="18"/>
          <w:lang w:val="en-GB"/>
        </w:rPr>
        <w:t>Gender Equality and Tourism: Beyond Empowerment</w:t>
      </w:r>
      <w:r w:rsidRPr="003B1C76">
        <w:rPr>
          <w:rFonts w:ascii="Book Antiqua" w:eastAsia=".AppleSystemUIFont Regular" w:hAnsi="Book Antiqua" w:cs=".AppleSystemUIFont Regular"/>
          <w:szCs w:val="18"/>
          <w:lang w:val="en-GB"/>
        </w:rPr>
        <w:t>. CABI.</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Coles, E., &amp; Buckle, P. (2004). Developing community resilience as a foundation for effective disaster recovery. </w:t>
      </w:r>
      <w:r w:rsidRPr="003B1C76">
        <w:rPr>
          <w:rFonts w:ascii="Book Antiqua" w:eastAsia=".AppleSystemUIFont Regular" w:hAnsi="Book Antiqua" w:cs=".AppleSystemUIFont Regular"/>
          <w:i/>
          <w:szCs w:val="18"/>
          <w:lang w:val="en-GB"/>
        </w:rPr>
        <w:t>Australian Journal of Emergency Management,</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19</w:t>
      </w:r>
      <w:r w:rsidRPr="003B1C76">
        <w:rPr>
          <w:rFonts w:ascii="Book Antiqua" w:eastAsia=".AppleSystemUIFont Regular" w:hAnsi="Book Antiqua" w:cs=".AppleSystemUIFont Regular"/>
          <w:szCs w:val="18"/>
          <w:lang w:val="en-GB"/>
        </w:rPr>
        <w:t>(4), 6–15.</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Cukier</w:t>
      </w:r>
      <w:proofErr w:type="spellEnd"/>
      <w:r w:rsidRPr="003B1C76">
        <w:rPr>
          <w:rFonts w:ascii="Book Antiqua" w:eastAsia=".AppleSystemUIFont Regular" w:hAnsi="Book Antiqua" w:cs=".AppleSystemUIFont Regular"/>
          <w:szCs w:val="18"/>
          <w:lang w:val="en-GB"/>
        </w:rPr>
        <w:t xml:space="preserve">, J., Norris, J., &amp; Wall, G. (1996). The involvement of women in the tourism industry of Bali, Indonesia. </w:t>
      </w:r>
      <w:r w:rsidRPr="003B1C76">
        <w:rPr>
          <w:rFonts w:ascii="Book Antiqua" w:eastAsia=".AppleSystemUIFont Regular" w:hAnsi="Book Antiqua" w:cs=".AppleSystemUIFont Regular"/>
          <w:i/>
          <w:iCs/>
          <w:szCs w:val="18"/>
          <w:lang w:val="en-GB"/>
        </w:rPr>
        <w:t>The Journal of Development Studies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33</w:t>
      </w:r>
      <w:r w:rsidRPr="003B1C76">
        <w:rPr>
          <w:rFonts w:ascii="Book Antiqua" w:eastAsia=".AppleSystemUIFont Regular" w:hAnsi="Book Antiqua" w:cs=".AppleSystemUIFont Regular"/>
          <w:szCs w:val="18"/>
          <w:lang w:val="en-GB"/>
        </w:rPr>
        <w:t xml:space="preserve">(2), 248–270. </w:t>
      </w:r>
      <w:hyperlink r:id="rId39" w:history="1">
        <w:r w:rsidRPr="003B1C76">
          <w:rPr>
            <w:rStyle w:val="16"/>
            <w:rFonts w:ascii="Book Antiqua" w:eastAsia=".AppleSystemUIFont Regular" w:hAnsi="Book Antiqua" w:cs=".AppleSystemUIFont Regular"/>
            <w:szCs w:val="18"/>
            <w:lang w:val="en-GB"/>
          </w:rPr>
          <w:t>https://doi.org/10.1080/00220389608422465</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Cukier</w:t>
      </w:r>
      <w:proofErr w:type="spellEnd"/>
      <w:r w:rsidRPr="003B1C76">
        <w:rPr>
          <w:rFonts w:ascii="Book Antiqua" w:eastAsia=".AppleSystemUIFont Regular" w:hAnsi="Book Antiqua" w:cs=".AppleSystemUIFont Regular"/>
          <w:szCs w:val="18"/>
          <w:lang w:val="en-GB"/>
        </w:rPr>
        <w:t xml:space="preserve">, J., &amp; Wall, G. (1994). Informal tourism employment: vendors in Bali, Indonesia. </w:t>
      </w:r>
      <w:r w:rsidRPr="003B1C76">
        <w:rPr>
          <w:rFonts w:ascii="Book Antiqua" w:eastAsia=".AppleSystemUIFont Regular" w:hAnsi="Book Antiqua" w:cs=".AppleSystemUIFont Regular"/>
          <w:i/>
          <w:szCs w:val="18"/>
          <w:lang w:val="en-GB"/>
        </w:rPr>
        <w:t>Tourism Management</w:t>
      </w:r>
      <w:r w:rsidRPr="003B1C76">
        <w:rPr>
          <w:rFonts w:ascii="Book Antiqua" w:eastAsia=".AppleSystemUIFont Regular" w:hAnsi="Book Antiqua" w:cs=".AppleSystemUIFont Regular"/>
          <w:szCs w:val="18"/>
          <w:lang w:val="en-GB"/>
        </w:rPr>
        <w:t xml:space="preserve">, 5(6), 464–467.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Dahles</w:t>
      </w:r>
      <w:proofErr w:type="spellEnd"/>
      <w:r w:rsidRPr="003B1C76">
        <w:rPr>
          <w:rFonts w:ascii="Book Antiqua" w:eastAsia=".AppleSystemUIFont Regular" w:hAnsi="Book Antiqua" w:cs=".AppleSystemUIFont Regular"/>
          <w:szCs w:val="18"/>
          <w:lang w:val="en-GB"/>
        </w:rPr>
        <w:t xml:space="preserve">, H., &amp; </w:t>
      </w:r>
      <w:proofErr w:type="spellStart"/>
      <w:r w:rsidRPr="003B1C76">
        <w:rPr>
          <w:rFonts w:ascii="Book Antiqua" w:eastAsia=".AppleSystemUIFont Regular" w:hAnsi="Book Antiqua" w:cs=".AppleSystemUIFont Regular"/>
          <w:szCs w:val="18"/>
          <w:lang w:val="en-GB"/>
        </w:rPr>
        <w:t>Susilowati</w:t>
      </w:r>
      <w:proofErr w:type="spellEnd"/>
      <w:r w:rsidRPr="003B1C76">
        <w:rPr>
          <w:rFonts w:ascii="Book Antiqua" w:eastAsia=".AppleSystemUIFont Regular" w:hAnsi="Book Antiqua" w:cs=".AppleSystemUIFont Regular"/>
          <w:szCs w:val="18"/>
          <w:lang w:val="en-GB"/>
        </w:rPr>
        <w:t xml:space="preserve">, T. P. (2015). Business resilience in times of growth and crisis.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 xml:space="preserve">, 51, 34–50. </w:t>
      </w:r>
      <w:hyperlink r:id="rId40" w:history="1">
        <w:r w:rsidRPr="003B1C76">
          <w:rPr>
            <w:rStyle w:val="16"/>
            <w:rFonts w:ascii="Book Antiqua" w:eastAsia=".AppleSystemUIFont Regular" w:hAnsi="Book Antiqua" w:cs=".AppleSystemUIFont Regular"/>
            <w:szCs w:val="18"/>
            <w:lang w:val="en-GB"/>
          </w:rPr>
          <w:t>https://doi.org/10.1016/j.annals.2015.01.002</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Darmaningtyas</w:t>
      </w:r>
      <w:proofErr w:type="spellEnd"/>
      <w:r w:rsidRPr="003B1C76">
        <w:rPr>
          <w:rFonts w:ascii="Book Antiqua" w:eastAsia=".AppleSystemUIFont Regular" w:hAnsi="Book Antiqua" w:cs=".AppleSystemUIFont Regular"/>
          <w:szCs w:val="18"/>
          <w:lang w:val="en-GB"/>
        </w:rPr>
        <w:t xml:space="preserve">. (2002). </w:t>
      </w:r>
      <w:proofErr w:type="spellStart"/>
      <w:r w:rsidRPr="003B1C76">
        <w:rPr>
          <w:rFonts w:ascii="Book Antiqua" w:eastAsia=".AppleSystemUIFont Regular" w:hAnsi="Book Antiqua" w:cs=".AppleSystemUIFont Regular"/>
          <w:i/>
          <w:iCs/>
          <w:szCs w:val="18"/>
          <w:lang w:val="en-GB"/>
        </w:rPr>
        <w:t>Pulung</w:t>
      </w:r>
      <w:proofErr w:type="spellEnd"/>
      <w:r w:rsidRPr="003B1C76">
        <w:rPr>
          <w:rFonts w:ascii="Book Antiqua" w:eastAsia=".AppleSystemUIFont Regular" w:hAnsi="Book Antiqua" w:cs=".AppleSystemUIFont Regular"/>
          <w:i/>
          <w:iCs/>
          <w:szCs w:val="18"/>
          <w:lang w:val="en-GB"/>
        </w:rPr>
        <w:t xml:space="preserve"> </w:t>
      </w:r>
      <w:proofErr w:type="spellStart"/>
      <w:r w:rsidRPr="003B1C76">
        <w:rPr>
          <w:rFonts w:ascii="Book Antiqua" w:eastAsia=".AppleSystemUIFont Regular" w:hAnsi="Book Antiqua" w:cs=".AppleSystemUIFont Regular"/>
          <w:i/>
          <w:iCs/>
          <w:szCs w:val="18"/>
          <w:lang w:val="en-GB"/>
        </w:rPr>
        <w:t>gantung</w:t>
      </w:r>
      <w:proofErr w:type="spellEnd"/>
      <w:r w:rsidRPr="003B1C76">
        <w:rPr>
          <w:rFonts w:ascii="Book Antiqua" w:eastAsia=".AppleSystemUIFont Regular" w:hAnsi="Book Antiqua" w:cs=".AppleSystemUIFont Regular"/>
          <w:i/>
          <w:iCs/>
          <w:szCs w:val="18"/>
          <w:lang w:val="en-GB"/>
        </w:rPr>
        <w:t xml:space="preserve">: </w:t>
      </w:r>
      <w:proofErr w:type="spellStart"/>
      <w:r w:rsidRPr="003B1C76">
        <w:rPr>
          <w:rFonts w:ascii="Book Antiqua" w:eastAsia=".AppleSystemUIFont Regular" w:hAnsi="Book Antiqua" w:cs=".AppleSystemUIFont Regular"/>
          <w:i/>
          <w:iCs/>
          <w:szCs w:val="18"/>
          <w:lang w:val="en-GB"/>
        </w:rPr>
        <w:t>menyingkap</w:t>
      </w:r>
      <w:proofErr w:type="spellEnd"/>
      <w:r w:rsidRPr="003B1C76">
        <w:rPr>
          <w:rFonts w:ascii="Book Antiqua" w:eastAsia=".AppleSystemUIFont Regular" w:hAnsi="Book Antiqua" w:cs=".AppleSystemUIFont Regular"/>
          <w:i/>
          <w:iCs/>
          <w:szCs w:val="18"/>
          <w:lang w:val="en-GB"/>
        </w:rPr>
        <w:t xml:space="preserve"> </w:t>
      </w:r>
      <w:proofErr w:type="spellStart"/>
      <w:r w:rsidRPr="003B1C76">
        <w:rPr>
          <w:rFonts w:ascii="Book Antiqua" w:eastAsia=".AppleSystemUIFont Regular" w:hAnsi="Book Antiqua" w:cs=".AppleSystemUIFont Regular"/>
          <w:i/>
          <w:iCs/>
          <w:szCs w:val="18"/>
          <w:lang w:val="en-GB"/>
        </w:rPr>
        <w:t>tragedi</w:t>
      </w:r>
      <w:proofErr w:type="spellEnd"/>
      <w:r w:rsidRPr="003B1C76">
        <w:rPr>
          <w:rFonts w:ascii="Book Antiqua" w:eastAsia=".AppleSystemUIFont Regular" w:hAnsi="Book Antiqua" w:cs=".AppleSystemUIFont Regular"/>
          <w:i/>
          <w:iCs/>
          <w:szCs w:val="18"/>
          <w:lang w:val="en-GB"/>
        </w:rPr>
        <w:t xml:space="preserve"> </w:t>
      </w:r>
      <w:proofErr w:type="spellStart"/>
      <w:r w:rsidRPr="003B1C76">
        <w:rPr>
          <w:rFonts w:ascii="Book Antiqua" w:eastAsia=".AppleSystemUIFont Regular" w:hAnsi="Book Antiqua" w:cs=".AppleSystemUIFont Regular"/>
          <w:i/>
          <w:iCs/>
          <w:szCs w:val="18"/>
          <w:lang w:val="en-GB"/>
        </w:rPr>
        <w:t>bunuh</w:t>
      </w:r>
      <w:proofErr w:type="spellEnd"/>
      <w:r w:rsidRPr="003B1C76">
        <w:rPr>
          <w:rFonts w:ascii="Book Antiqua" w:eastAsia=".AppleSystemUIFont Regular" w:hAnsi="Book Antiqua" w:cs=".AppleSystemUIFont Regular"/>
          <w:i/>
          <w:iCs/>
          <w:szCs w:val="18"/>
          <w:lang w:val="en-GB"/>
        </w:rPr>
        <w:t xml:space="preserve"> </w:t>
      </w:r>
      <w:proofErr w:type="spellStart"/>
      <w:r w:rsidRPr="003B1C76">
        <w:rPr>
          <w:rFonts w:ascii="Book Antiqua" w:eastAsia=".AppleSystemUIFont Regular" w:hAnsi="Book Antiqua" w:cs=".AppleSystemUIFont Regular"/>
          <w:i/>
          <w:iCs/>
          <w:szCs w:val="18"/>
          <w:lang w:val="en-GB"/>
        </w:rPr>
        <w:t>diri</w:t>
      </w:r>
      <w:proofErr w:type="spellEnd"/>
      <w:r w:rsidRPr="003B1C76">
        <w:rPr>
          <w:rFonts w:ascii="Book Antiqua" w:eastAsia=".AppleSystemUIFont Regular" w:hAnsi="Book Antiqua" w:cs=".AppleSystemUIFont Regular"/>
          <w:i/>
          <w:iCs/>
          <w:szCs w:val="18"/>
          <w:lang w:val="en-GB"/>
        </w:rPr>
        <w:t xml:space="preserve"> di </w:t>
      </w:r>
      <w:proofErr w:type="spellStart"/>
      <w:r w:rsidRPr="003B1C76">
        <w:rPr>
          <w:rFonts w:ascii="Book Antiqua" w:eastAsia=".AppleSystemUIFont Regular" w:hAnsi="Book Antiqua" w:cs=".AppleSystemUIFont Regular"/>
          <w:i/>
          <w:iCs/>
          <w:szCs w:val="18"/>
          <w:lang w:val="en-GB"/>
        </w:rPr>
        <w:t>Gunungkidul</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Salwa</w:t>
      </w:r>
      <w:proofErr w:type="spellEnd"/>
      <w:r w:rsidRPr="003B1C76">
        <w:rPr>
          <w:rFonts w:ascii="Book Antiqua" w:eastAsia=".AppleSystemUIFont Regular" w:hAnsi="Book Antiqua" w:cs=".AppleSystemUIFont Regular"/>
          <w:szCs w:val="18"/>
          <w:lang w:val="en-GB"/>
        </w:rPr>
        <w:t xml:space="preserve"> Press.</w:t>
      </w:r>
    </w:p>
    <w:p w:rsidR="002D55B0" w:rsidRPr="003B1C76" w:rsidRDefault="002D55B0" w:rsidP="002D55B0">
      <w:pPr>
        <w:spacing w:line="240" w:lineRule="auto"/>
        <w:ind w:left="720" w:hanging="720"/>
        <w:rPr>
          <w:rFonts w:ascii="Book Antiqua" w:eastAsia=".AppleSystemUIFont Regular" w:hAnsi="Book Antiqua" w:cs=".AppleSystemUIFont Regular"/>
          <w:iCs/>
          <w:szCs w:val="18"/>
          <w:lang w:val="en-GB"/>
        </w:rPr>
      </w:pPr>
      <w:proofErr w:type="spellStart"/>
      <w:r w:rsidRPr="003B1C76">
        <w:rPr>
          <w:rFonts w:ascii="Book Antiqua" w:eastAsia=".AppleSystemUIFont Regular" w:hAnsi="Book Antiqua" w:cs=".AppleSystemUIFont Regular"/>
          <w:szCs w:val="18"/>
          <w:lang w:val="en-GB"/>
        </w:rPr>
        <w:t>Dayour</w:t>
      </w:r>
      <w:proofErr w:type="spellEnd"/>
      <w:r w:rsidRPr="003B1C76">
        <w:rPr>
          <w:rFonts w:ascii="Book Antiqua" w:eastAsia=".AppleSystemUIFont Regular" w:hAnsi="Book Antiqua" w:cs=".AppleSystemUIFont Regular"/>
          <w:szCs w:val="18"/>
          <w:lang w:val="en-GB"/>
        </w:rPr>
        <w:t xml:space="preserve">, F., Adongo, C. A., </w:t>
      </w:r>
      <w:proofErr w:type="spellStart"/>
      <w:r w:rsidRPr="003B1C76">
        <w:rPr>
          <w:rFonts w:ascii="Book Antiqua" w:eastAsia=".AppleSystemUIFont Regular" w:hAnsi="Book Antiqua" w:cs=".AppleSystemUIFont Regular"/>
          <w:szCs w:val="18"/>
          <w:lang w:val="en-GB"/>
        </w:rPr>
        <w:t>Amuquandoh</w:t>
      </w:r>
      <w:proofErr w:type="spellEnd"/>
      <w:r w:rsidRPr="003B1C76">
        <w:rPr>
          <w:rFonts w:ascii="Book Antiqua" w:eastAsia=".AppleSystemUIFont Regular" w:hAnsi="Book Antiqua" w:cs=".AppleSystemUIFont Regular"/>
          <w:szCs w:val="18"/>
          <w:lang w:val="en-GB"/>
        </w:rPr>
        <w:t xml:space="preserve">, F. E., Adam, I. (2020). Managing the COVID-19 crisis: coping and post-recovery strategies for hospitality and </w:t>
      </w:r>
      <w:r w:rsidRPr="003B1C76">
        <w:rPr>
          <w:rFonts w:ascii="Book Antiqua" w:eastAsia=".AppleSystemUIFont Regular" w:hAnsi="Book Antiqua" w:cs=".AppleSystemUIFont Regular"/>
          <w:szCs w:val="18"/>
          <w:lang w:val="en-GB"/>
        </w:rPr>
        <w:t xml:space="preserve">tourism businesses in Ghana. </w:t>
      </w:r>
      <w:r w:rsidRPr="003B1C76">
        <w:rPr>
          <w:rFonts w:ascii="Book Antiqua" w:eastAsia=".AppleSystemUIFont Regular" w:hAnsi="Book Antiqua" w:cs=".AppleSystemUIFont Regular"/>
          <w:i/>
          <w:szCs w:val="18"/>
          <w:lang w:val="en-GB"/>
        </w:rPr>
        <w:t xml:space="preserve">Journal of Hospitality and Tourism, </w:t>
      </w:r>
      <w:r w:rsidRPr="003B1C76">
        <w:rPr>
          <w:rFonts w:ascii="Book Antiqua" w:eastAsia=".AppleSystemUIFont Regular" w:hAnsi="Book Antiqua" w:cs=".AppleSystemUIFont Regular"/>
          <w:i/>
          <w:iCs/>
          <w:szCs w:val="18"/>
          <w:lang w:val="en-GB"/>
        </w:rPr>
        <w:t>4</w:t>
      </w:r>
      <w:r w:rsidRPr="003B1C76">
        <w:rPr>
          <w:rFonts w:ascii="Book Antiqua" w:eastAsia=".AppleSystemUIFont Regular" w:hAnsi="Book Antiqua" w:cs=".AppleSystemUIFont Regular"/>
          <w:szCs w:val="18"/>
          <w:lang w:val="en-GB"/>
        </w:rPr>
        <w:t>(4), 373–392.</w:t>
      </w:r>
      <w:r w:rsidRPr="003B1C76">
        <w:rPr>
          <w:rFonts w:ascii="Book Antiqua" w:eastAsia=".AppleSystemUIFont Regular" w:hAnsi="Book Antiqua" w:cs=".AppleSystemUIFont Regular"/>
          <w:i/>
          <w:szCs w:val="18"/>
          <w:lang w:val="en-GB"/>
        </w:rPr>
        <w:t xml:space="preserve"> </w:t>
      </w:r>
      <w:hyperlink r:id="rId41" w:history="1">
        <w:r w:rsidRPr="003B1C76">
          <w:rPr>
            <w:rStyle w:val="16"/>
            <w:rFonts w:ascii="Book Antiqua" w:eastAsia=".AppleSystemUIFont Regular" w:hAnsi="Book Antiqua" w:cs=".AppleSystemUIFont Regular"/>
            <w:szCs w:val="18"/>
            <w:lang w:val="en-GB"/>
          </w:rPr>
          <w:t>https://doi.org/10.1108/JHTI-08-2020-0150</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Deen</w:t>
      </w:r>
      <w:proofErr w:type="spellEnd"/>
      <w:r w:rsidRPr="003B1C76">
        <w:rPr>
          <w:rFonts w:ascii="Book Antiqua" w:eastAsia=".AppleSystemUIFont Regular" w:hAnsi="Book Antiqua" w:cs=".AppleSystemUIFont Regular"/>
          <w:szCs w:val="18"/>
          <w:lang w:val="en-GB"/>
        </w:rPr>
        <w:t xml:space="preserve">, A., </w:t>
      </w:r>
      <w:proofErr w:type="spellStart"/>
      <w:r w:rsidRPr="003B1C76">
        <w:rPr>
          <w:rFonts w:ascii="Book Antiqua" w:eastAsia=".AppleSystemUIFont Regular" w:hAnsi="Book Antiqua" w:cs=".AppleSystemUIFont Regular"/>
          <w:szCs w:val="18"/>
          <w:lang w:val="en-GB"/>
        </w:rPr>
        <w:t>Harilal</w:t>
      </w:r>
      <w:proofErr w:type="spellEnd"/>
      <w:r w:rsidRPr="003B1C76">
        <w:rPr>
          <w:rFonts w:ascii="Book Antiqua" w:eastAsia=".AppleSystemUIFont Regular" w:hAnsi="Book Antiqua" w:cs=".AppleSystemUIFont Regular"/>
          <w:szCs w:val="18"/>
          <w:lang w:val="en-GB"/>
        </w:rPr>
        <w:t xml:space="preserve">, V., &amp; </w:t>
      </w:r>
      <w:proofErr w:type="spellStart"/>
      <w:r w:rsidRPr="003B1C76">
        <w:rPr>
          <w:rFonts w:ascii="Book Antiqua" w:eastAsia=".AppleSystemUIFont Regular" w:hAnsi="Book Antiqua" w:cs=".AppleSystemUIFont Regular"/>
          <w:szCs w:val="18"/>
          <w:lang w:val="en-GB"/>
        </w:rPr>
        <w:t>Achu</w:t>
      </w:r>
      <w:proofErr w:type="spellEnd"/>
      <w:r w:rsidRPr="003B1C76">
        <w:rPr>
          <w:rFonts w:ascii="Book Antiqua" w:eastAsia=".AppleSystemUIFont Regular" w:hAnsi="Book Antiqua" w:cs=".AppleSystemUIFont Regular"/>
          <w:szCs w:val="18"/>
          <w:lang w:val="en-GB"/>
        </w:rPr>
        <w:t xml:space="preserve">, F. N. (2016). </w:t>
      </w:r>
      <w:r w:rsidRPr="003B1C76">
        <w:rPr>
          <w:rFonts w:ascii="Book Antiqua" w:eastAsia=".AppleSystemUIFont Regular" w:hAnsi="Book Antiqua" w:cs=".AppleSystemUIFont Regular"/>
          <w:iCs/>
          <w:szCs w:val="18"/>
          <w:lang w:val="en-GB"/>
        </w:rPr>
        <w:t>Women in tourism: Experiences and challenges faced by owners of small accommodation establishments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5</w:t>
      </w:r>
      <w:r w:rsidRPr="003B1C76">
        <w:rPr>
          <w:rFonts w:ascii="Book Antiqua" w:eastAsia=".AppleSystemUIFont Regular" w:hAnsi="Book Antiqua" w:cs=".AppleSystemUIFont Regular"/>
          <w:szCs w:val="18"/>
          <w:lang w:val="en-GB"/>
        </w:rPr>
        <w:t xml:space="preserve">(3), 1–15.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Dimitrovski</w:t>
      </w:r>
      <w:proofErr w:type="spellEnd"/>
      <w:r w:rsidRPr="003B1C76">
        <w:rPr>
          <w:rFonts w:ascii="Book Antiqua" w:eastAsia=".AppleSystemUIFont Regular" w:hAnsi="Book Antiqua" w:cs=".AppleSystemUIFont Regular"/>
          <w:szCs w:val="18"/>
          <w:lang w:val="en-GB"/>
        </w:rPr>
        <w:t xml:space="preserve">, D. D., </w:t>
      </w:r>
      <w:proofErr w:type="spellStart"/>
      <w:r w:rsidRPr="003B1C76">
        <w:rPr>
          <w:rFonts w:ascii="Book Antiqua" w:eastAsia=".AppleSystemUIFont Regular" w:hAnsi="Book Antiqua" w:cs=".AppleSystemUIFont Regular"/>
          <w:szCs w:val="18"/>
          <w:lang w:val="en-GB"/>
        </w:rPr>
        <w:t>Todorović</w:t>
      </w:r>
      <w:proofErr w:type="spellEnd"/>
      <w:r w:rsidRPr="003B1C76">
        <w:rPr>
          <w:rFonts w:ascii="Book Antiqua" w:eastAsia=".AppleSystemUIFont Regular" w:hAnsi="Book Antiqua" w:cs=".AppleSystemUIFont Regular"/>
          <w:szCs w:val="18"/>
          <w:lang w:val="en-GB"/>
        </w:rPr>
        <w:t xml:space="preserve">, A. T., &amp; </w:t>
      </w:r>
      <w:proofErr w:type="spellStart"/>
      <w:r w:rsidRPr="003B1C76">
        <w:rPr>
          <w:rFonts w:ascii="Book Antiqua" w:eastAsia=".AppleSystemUIFont Regular" w:hAnsi="Book Antiqua" w:cs=".AppleSystemUIFont Regular"/>
          <w:szCs w:val="18"/>
          <w:lang w:val="en-GB"/>
        </w:rPr>
        <w:t>Valjarević</w:t>
      </w:r>
      <w:proofErr w:type="spellEnd"/>
      <w:r w:rsidRPr="003B1C76">
        <w:rPr>
          <w:rFonts w:ascii="Book Antiqua" w:eastAsia=".AppleSystemUIFont Regular" w:hAnsi="Book Antiqua" w:cs=".AppleSystemUIFont Regular"/>
          <w:szCs w:val="18"/>
          <w:lang w:val="en-GB"/>
        </w:rPr>
        <w:t xml:space="preserve">, A. D. (2012). Rural tourism and regional development: Case study of development of rural tourism in the region of </w:t>
      </w:r>
      <w:proofErr w:type="spellStart"/>
      <w:r w:rsidRPr="003B1C76">
        <w:rPr>
          <w:rFonts w:ascii="Book Antiqua" w:eastAsia=".AppleSystemUIFont Regular" w:hAnsi="Book Antiqua" w:cs=".AppleSystemUIFont Regular"/>
          <w:szCs w:val="18"/>
          <w:lang w:val="en-GB"/>
        </w:rPr>
        <w:t>Gruţa</w:t>
      </w:r>
      <w:proofErr w:type="spellEnd"/>
      <w:r w:rsidRPr="003B1C76">
        <w:rPr>
          <w:rFonts w:ascii="Book Antiqua" w:eastAsia=".AppleSystemUIFont Regular" w:hAnsi="Book Antiqua" w:cs=".AppleSystemUIFont Regular"/>
          <w:szCs w:val="18"/>
          <w:lang w:val="en-GB"/>
        </w:rPr>
        <w:t xml:space="preserve">, Serbia. </w:t>
      </w:r>
      <w:r w:rsidRPr="003B1C76">
        <w:rPr>
          <w:rFonts w:ascii="Book Antiqua" w:eastAsia=".AppleSystemUIFont Regular" w:hAnsi="Book Antiqua" w:cs=".AppleSystemUIFont Regular"/>
          <w:i/>
          <w:szCs w:val="18"/>
          <w:lang w:val="en-GB"/>
        </w:rPr>
        <w:t>Procedia Environmental Sciences</w:t>
      </w:r>
      <w:r w:rsidRPr="003B1C76">
        <w:rPr>
          <w:rFonts w:ascii="Book Antiqua" w:eastAsia=".AppleSystemUIFont Regular" w:hAnsi="Book Antiqua" w:cs=".AppleSystemUIFont Regular"/>
          <w:szCs w:val="18"/>
          <w:lang w:val="en-GB"/>
        </w:rPr>
        <w:t>,</w:t>
      </w:r>
      <w:r w:rsidRPr="003B1C76">
        <w:rPr>
          <w:rFonts w:ascii="Book Antiqua" w:eastAsia=".AppleSystemUIFont Regular" w:hAnsi="Book Antiqua" w:cs=".AppleSystemUIFont Regular"/>
          <w:szCs w:val="18"/>
          <w:lang w:val="en-GB"/>
        </w:rPr>
        <w:tab/>
        <w:t xml:space="preserve">14, 288 297. </w:t>
      </w:r>
      <w:hyperlink r:id="rId42" w:history="1">
        <w:r w:rsidRPr="003B1C76">
          <w:rPr>
            <w:rStyle w:val="17"/>
            <w:rFonts w:ascii="Book Antiqua" w:eastAsia=".AppleSystemUIFont Regular" w:hAnsi="Book Antiqua" w:cs=".AppleSystemUIFont Regular" w:hint="default"/>
            <w:szCs w:val="18"/>
            <w:lang w:val="en-GB"/>
          </w:rPr>
          <w:t>https://doi.org/10.1016/j.proenv.2012.03.028</w:t>
        </w:r>
      </w:hyperlink>
      <w:r w:rsidRPr="003B1C76">
        <w:rPr>
          <w:rFonts w:ascii="Book Antiqua" w:eastAsia=".AppleSystemUIFont Regular" w:hAnsi="Book Antiqua" w:cs=".AppleSystemUIFont Regular"/>
          <w:szCs w:val="18"/>
          <w:lang w:val="en-GB"/>
        </w:rPr>
        <w:t>.</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Dogru</w:t>
      </w:r>
      <w:proofErr w:type="spellEnd"/>
      <w:r w:rsidRPr="003B1C76">
        <w:rPr>
          <w:rFonts w:ascii="Book Antiqua" w:eastAsia=".AppleSystemUIFont Regular" w:hAnsi="Book Antiqua" w:cs=".AppleSystemUIFont Regular"/>
          <w:szCs w:val="18"/>
          <w:lang w:val="en-GB"/>
        </w:rPr>
        <w:t xml:space="preserve">, T., </w:t>
      </w:r>
      <w:proofErr w:type="spellStart"/>
      <w:r w:rsidRPr="003B1C76">
        <w:rPr>
          <w:rFonts w:ascii="Book Antiqua" w:eastAsia=".AppleSystemUIFont Regular" w:hAnsi="Book Antiqua" w:cs=".AppleSystemUIFont Regular"/>
          <w:szCs w:val="18"/>
          <w:lang w:val="en-GB"/>
        </w:rPr>
        <w:t>Marchio</w:t>
      </w:r>
      <w:proofErr w:type="spellEnd"/>
      <w:r w:rsidRPr="003B1C76">
        <w:rPr>
          <w:rFonts w:ascii="Book Antiqua" w:eastAsia=".AppleSystemUIFont Regular" w:hAnsi="Book Antiqua" w:cs=".AppleSystemUIFont Regular"/>
          <w:szCs w:val="18"/>
          <w:lang w:val="en-GB"/>
        </w:rPr>
        <w:t xml:space="preserve">, E. A., </w:t>
      </w:r>
      <w:proofErr w:type="spellStart"/>
      <w:r w:rsidRPr="003B1C76">
        <w:rPr>
          <w:rFonts w:ascii="Book Antiqua" w:eastAsia=".AppleSystemUIFont Regular" w:hAnsi="Book Antiqua" w:cs=".AppleSystemUIFont Regular"/>
          <w:szCs w:val="18"/>
          <w:lang w:val="en-GB"/>
        </w:rPr>
        <w:t>Bulut</w:t>
      </w:r>
      <w:proofErr w:type="spellEnd"/>
      <w:r w:rsidRPr="003B1C76">
        <w:rPr>
          <w:rFonts w:ascii="Book Antiqua" w:eastAsia=".AppleSystemUIFont Regular" w:hAnsi="Book Antiqua" w:cs=".AppleSystemUIFont Regular"/>
          <w:szCs w:val="18"/>
          <w:lang w:val="en-GB"/>
        </w:rPr>
        <w:t xml:space="preserve">, U., &amp; Suess, C. (2019). Climate change: Vulnerability and resilience of tourism and the entire economy. </w:t>
      </w:r>
      <w:r w:rsidRPr="003B1C76">
        <w:rPr>
          <w:rFonts w:ascii="Book Antiqua" w:eastAsia=".AppleSystemUIFont Regular" w:hAnsi="Book Antiqua" w:cs=".AppleSystemUIFont Regular"/>
          <w:i/>
          <w:szCs w:val="18"/>
          <w:lang w:val="en-GB"/>
        </w:rPr>
        <w:t>Tourism Management</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72</w:t>
      </w:r>
      <w:r w:rsidRPr="003B1C76">
        <w:rPr>
          <w:rFonts w:ascii="Book Antiqua" w:eastAsia=".AppleSystemUIFont Regular" w:hAnsi="Book Antiqua" w:cs=".AppleSystemUIFont Regular"/>
          <w:szCs w:val="18"/>
          <w:lang w:val="en-GB"/>
        </w:rPr>
        <w:t xml:space="preserve">, 292-305. </w:t>
      </w:r>
      <w:hyperlink r:id="rId43" w:history="1">
        <w:r w:rsidRPr="003B1C76">
          <w:rPr>
            <w:rStyle w:val="16"/>
            <w:rFonts w:ascii="Book Antiqua" w:eastAsia=".AppleSystemUIFont Regular" w:hAnsi="Book Antiqua" w:cs=".AppleSystemUIFont Regular"/>
            <w:szCs w:val="18"/>
            <w:lang w:val="en-GB"/>
          </w:rPr>
          <w:t>https://doi.org/10.1016/j.tourman.2018.12.010</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Dubois, </w:t>
      </w:r>
      <w:proofErr w:type="spellStart"/>
      <w:r w:rsidRPr="003B1C76">
        <w:rPr>
          <w:rFonts w:ascii="Book Antiqua" w:eastAsia=".AppleSystemUIFont Regular" w:hAnsi="Book Antiqua" w:cs=".AppleSystemUIFont Regular"/>
          <w:szCs w:val="18"/>
          <w:lang w:val="en-GB"/>
        </w:rPr>
        <w:t>Ghislain</w:t>
      </w:r>
      <w:proofErr w:type="spellEnd"/>
      <w:r w:rsidRPr="003B1C76">
        <w:rPr>
          <w:rFonts w:ascii="Book Antiqua" w:eastAsia=".AppleSystemUIFont Regular" w:hAnsi="Book Antiqua" w:cs=".AppleSystemUIFont Regular"/>
          <w:szCs w:val="18"/>
          <w:lang w:val="en-GB"/>
        </w:rPr>
        <w:t xml:space="preserve"> &amp; </w:t>
      </w:r>
      <w:proofErr w:type="spellStart"/>
      <w:r w:rsidRPr="003B1C76">
        <w:rPr>
          <w:rFonts w:ascii="Book Antiqua" w:eastAsia=".AppleSystemUIFont Regular" w:hAnsi="Book Antiqua" w:cs=".AppleSystemUIFont Regular"/>
          <w:szCs w:val="18"/>
          <w:lang w:val="en-GB"/>
        </w:rPr>
        <w:t>Ceron</w:t>
      </w:r>
      <w:proofErr w:type="spellEnd"/>
      <w:r w:rsidRPr="003B1C76">
        <w:rPr>
          <w:rFonts w:ascii="Book Antiqua" w:eastAsia=".AppleSystemUIFont Regular" w:hAnsi="Book Antiqua" w:cs=".AppleSystemUIFont Regular"/>
          <w:szCs w:val="18"/>
          <w:lang w:val="en-GB"/>
        </w:rPr>
        <w:t>, Jean Paul (2006). Tourism/leisure greenhouse gas emissions forecasts for 2050: Factors for change in France.</w:t>
      </w:r>
      <w:r w:rsidRPr="003B1C76">
        <w:rPr>
          <w:rFonts w:ascii="Book Antiqua" w:eastAsia=".AppleSystemUIFont Regular" w:hAnsi="Book Antiqua" w:cs=".AppleSystemUIFont Regular"/>
          <w:i/>
          <w:szCs w:val="18"/>
          <w:lang w:val="en-GB"/>
        </w:rPr>
        <w:t xml:space="preserve"> Journal of Sustainable Tourism, </w:t>
      </w:r>
      <w:r w:rsidRPr="003B1C76">
        <w:rPr>
          <w:rFonts w:ascii="Book Antiqua" w:eastAsia=".AppleSystemUIFont Regular" w:hAnsi="Book Antiqua" w:cs=".AppleSystemUIFont Regular"/>
          <w:i/>
          <w:iCs/>
          <w:szCs w:val="18"/>
          <w:lang w:val="en-GB"/>
        </w:rPr>
        <w:t>14</w:t>
      </w:r>
      <w:r w:rsidRPr="003B1C76">
        <w:rPr>
          <w:rFonts w:ascii="Book Antiqua" w:eastAsia=".AppleSystemUIFont Regular" w:hAnsi="Book Antiqua" w:cs=".AppleSystemUIFont Regular"/>
          <w:szCs w:val="18"/>
          <w:lang w:val="en-GB"/>
        </w:rPr>
        <w:t xml:space="preserve">(2), 172–191. </w:t>
      </w:r>
      <w:hyperlink r:id="rId44" w:history="1">
        <w:r w:rsidRPr="003B1C76">
          <w:rPr>
            <w:rStyle w:val="16"/>
            <w:rFonts w:ascii="Book Antiqua" w:eastAsia=".AppleSystemUIFont Regular" w:hAnsi="Book Antiqua" w:cs=".AppleSystemUIFont Regular"/>
            <w:szCs w:val="18"/>
            <w:lang w:val="en-GB"/>
          </w:rPr>
          <w:t>https://doi.org/10.1080/09669580608669051</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Dube, K., </w:t>
      </w:r>
      <w:proofErr w:type="spellStart"/>
      <w:r w:rsidRPr="003B1C76">
        <w:rPr>
          <w:rFonts w:ascii="Book Antiqua" w:eastAsia=".AppleSystemUIFont Regular" w:hAnsi="Book Antiqua" w:cs=".AppleSystemUIFont Regular"/>
          <w:szCs w:val="18"/>
          <w:lang w:val="en-GB"/>
        </w:rPr>
        <w:t>Nhamo</w:t>
      </w:r>
      <w:proofErr w:type="spellEnd"/>
      <w:r w:rsidRPr="003B1C76">
        <w:rPr>
          <w:rFonts w:ascii="Book Antiqua" w:eastAsia=".AppleSystemUIFont Regular" w:hAnsi="Book Antiqua" w:cs=".AppleSystemUIFont Regular"/>
          <w:szCs w:val="18"/>
          <w:lang w:val="en-GB"/>
        </w:rPr>
        <w:t xml:space="preserve">, G., &amp; </w:t>
      </w:r>
      <w:proofErr w:type="spellStart"/>
      <w:r w:rsidRPr="003B1C76">
        <w:rPr>
          <w:rFonts w:ascii="Book Antiqua" w:eastAsia=".AppleSystemUIFont Regular" w:hAnsi="Book Antiqua" w:cs=".AppleSystemUIFont Regular"/>
          <w:szCs w:val="18"/>
          <w:lang w:val="en-GB"/>
        </w:rPr>
        <w:t>Chikodzi</w:t>
      </w:r>
      <w:proofErr w:type="spellEnd"/>
      <w:r w:rsidRPr="003B1C76">
        <w:rPr>
          <w:rFonts w:ascii="Book Antiqua" w:eastAsia=".AppleSystemUIFont Regular" w:hAnsi="Book Antiqua" w:cs=".AppleSystemUIFont Regular"/>
          <w:szCs w:val="18"/>
          <w:lang w:val="en-GB"/>
        </w:rPr>
        <w:t xml:space="preserve">, D. (2020). COVID-19 cripples global restaurant and hospitality industry. </w:t>
      </w:r>
      <w:r w:rsidRPr="003B1C76">
        <w:rPr>
          <w:rFonts w:ascii="Book Antiqua" w:eastAsia=".AppleSystemUIFont Regular" w:hAnsi="Book Antiqua" w:cs=".AppleSystemUIFont Regular"/>
          <w:i/>
          <w:szCs w:val="18"/>
          <w:lang w:val="en-GB"/>
        </w:rPr>
        <w:t>Current Issues in Tourism</w:t>
      </w:r>
      <w:r w:rsidRPr="003B1C76">
        <w:rPr>
          <w:rFonts w:ascii="Book Antiqua" w:eastAsia=".AppleSystemUIFont Regular" w:hAnsi="Book Antiqua" w:cs=".AppleSystemUIFont Regular"/>
          <w:szCs w:val="18"/>
          <w:lang w:val="en-GB"/>
        </w:rPr>
        <w:t xml:space="preserve">, 1–4. </w:t>
      </w:r>
      <w:hyperlink r:id="rId45" w:history="1">
        <w:r w:rsidRPr="003B1C76">
          <w:rPr>
            <w:rStyle w:val="16"/>
            <w:rFonts w:ascii="Book Antiqua" w:eastAsia=".AppleSystemUIFont Regular" w:hAnsi="Book Antiqua" w:cs=".AppleSystemUIFont Regular"/>
            <w:szCs w:val="18"/>
            <w:lang w:val="en-GB"/>
          </w:rPr>
          <w:t>https://doi.org/10.1080/13683500.2020.1773416</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Egeland, B., Elizabeth, C., &amp; </w:t>
      </w:r>
      <w:proofErr w:type="spellStart"/>
      <w:r w:rsidRPr="003B1C76">
        <w:rPr>
          <w:rFonts w:ascii="Book Antiqua" w:eastAsia=".AppleSystemUIFont Regular" w:hAnsi="Book Antiqua" w:cs=".AppleSystemUIFont Regular"/>
          <w:szCs w:val="18"/>
          <w:lang w:val="en-GB"/>
        </w:rPr>
        <w:t>Sroufe</w:t>
      </w:r>
      <w:proofErr w:type="spellEnd"/>
      <w:r w:rsidRPr="003B1C76">
        <w:rPr>
          <w:rFonts w:ascii="Book Antiqua" w:eastAsia=".AppleSystemUIFont Regular" w:hAnsi="Book Antiqua" w:cs=".AppleSystemUIFont Regular"/>
          <w:szCs w:val="18"/>
          <w:lang w:val="en-GB"/>
        </w:rPr>
        <w:t xml:space="preserve">, L. A. (1993). Resilience as process. </w:t>
      </w:r>
      <w:r w:rsidRPr="003B1C76">
        <w:rPr>
          <w:rFonts w:ascii="Book Antiqua" w:eastAsia=".AppleSystemUIFont Regular" w:hAnsi="Book Antiqua" w:cs=".AppleSystemUIFont Regular"/>
          <w:i/>
          <w:szCs w:val="18"/>
          <w:lang w:val="en-GB"/>
        </w:rPr>
        <w:t>Development and Psychopathology</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5</w:t>
      </w:r>
      <w:r w:rsidRPr="003B1C76">
        <w:rPr>
          <w:rFonts w:ascii="Book Antiqua" w:eastAsia=".AppleSystemUIFont Regular" w:hAnsi="Book Antiqua" w:cs=".AppleSystemUIFont Regular"/>
          <w:szCs w:val="18"/>
          <w:lang w:val="en-GB"/>
        </w:rPr>
        <w:t>, 517–528.</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Esping</w:t>
      </w:r>
      <w:proofErr w:type="spellEnd"/>
      <w:r w:rsidRPr="003B1C76">
        <w:rPr>
          <w:rFonts w:ascii="Cambria Math" w:eastAsia=".AppleSystemUIFont Regular" w:hAnsi="Cambria Math" w:cs="Cambria Math"/>
          <w:szCs w:val="18"/>
          <w:lang w:val="en-GB"/>
        </w:rPr>
        <w:t>‐</w:t>
      </w:r>
      <w:r w:rsidRPr="003B1C76">
        <w:rPr>
          <w:rFonts w:ascii="Book Antiqua" w:eastAsia=".AppleSystemUIFont Regular" w:hAnsi="Book Antiqua" w:cs=".AppleSystemUIFont Regular"/>
          <w:szCs w:val="18"/>
          <w:lang w:val="en-GB"/>
        </w:rPr>
        <w:t xml:space="preserve">Andersen, G. (1990). </w:t>
      </w:r>
      <w:r w:rsidRPr="003B1C76">
        <w:rPr>
          <w:rFonts w:ascii="Book Antiqua" w:eastAsia=".AppleSystemUIFont Regular" w:hAnsi="Book Antiqua" w:cs=".AppleSystemUIFont Regular"/>
          <w:i/>
          <w:szCs w:val="18"/>
          <w:lang w:val="en-GB"/>
        </w:rPr>
        <w:t>The Three World of Welfare Capitalism</w:t>
      </w:r>
      <w:r w:rsidRPr="003B1C76">
        <w:rPr>
          <w:rFonts w:ascii="Book Antiqua" w:eastAsia=".AppleSystemUIFont Regular" w:hAnsi="Book Antiqua" w:cs=".AppleSystemUIFont Regular"/>
          <w:szCs w:val="18"/>
          <w:lang w:val="en-GB"/>
        </w:rPr>
        <w:t>. Polity Press.</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Fachrurozi</w:t>
      </w:r>
      <w:proofErr w:type="spellEnd"/>
      <w:r w:rsidRPr="003B1C76">
        <w:rPr>
          <w:rFonts w:ascii="Book Antiqua" w:eastAsia=".AppleSystemUIFont Regular" w:hAnsi="Book Antiqua" w:cs=".AppleSystemUIFont Regular"/>
          <w:szCs w:val="18"/>
          <w:lang w:val="en-GB"/>
        </w:rPr>
        <w:t xml:space="preserve">, M.H. (2020). </w:t>
      </w:r>
      <w:proofErr w:type="spellStart"/>
      <w:r w:rsidRPr="003B1C76">
        <w:rPr>
          <w:rFonts w:ascii="Book Antiqua" w:eastAsia=".AppleSystemUIFont Regular" w:hAnsi="Book Antiqua" w:cs=".AppleSystemUIFont Regular"/>
          <w:szCs w:val="18"/>
          <w:lang w:val="en-GB"/>
        </w:rPr>
        <w:t>Dinamika</w:t>
      </w:r>
      <w:proofErr w:type="spellEnd"/>
      <w:r w:rsidRPr="003B1C76">
        <w:rPr>
          <w:rFonts w:ascii="Book Antiqua" w:eastAsia=".AppleSystemUIFont Regular" w:hAnsi="Book Antiqua" w:cs=".AppleSystemUIFont Regular"/>
          <w:szCs w:val="18"/>
          <w:lang w:val="en-GB"/>
        </w:rPr>
        <w:t xml:space="preserve"> Masyarakat </w:t>
      </w:r>
      <w:proofErr w:type="spellStart"/>
      <w:r w:rsidRPr="003B1C76">
        <w:rPr>
          <w:rFonts w:ascii="Book Antiqua" w:eastAsia=".AppleSystemUIFont Regular" w:hAnsi="Book Antiqua" w:cs=".AppleSystemUIFont Regular"/>
          <w:szCs w:val="18"/>
          <w:lang w:val="en-GB"/>
        </w:rPr>
        <w:t>Petani</w:t>
      </w:r>
      <w:proofErr w:type="spellEnd"/>
      <w:r w:rsidRPr="003B1C76">
        <w:rPr>
          <w:rFonts w:ascii="Book Antiqua" w:eastAsia=".AppleSystemUIFont Regular" w:hAnsi="Book Antiqua" w:cs=".AppleSystemUIFont Regular"/>
          <w:szCs w:val="18"/>
          <w:lang w:val="en-GB"/>
        </w:rPr>
        <w:t xml:space="preserve"> di </w:t>
      </w:r>
      <w:proofErr w:type="spellStart"/>
      <w:r w:rsidRPr="003B1C76">
        <w:rPr>
          <w:rFonts w:ascii="Book Antiqua" w:eastAsia=".AppleSystemUIFont Regular" w:hAnsi="Book Antiqua" w:cs=".AppleSystemUIFont Regular"/>
          <w:szCs w:val="18"/>
          <w:lang w:val="en-GB"/>
        </w:rPr>
        <w:t>Gunungkidul</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Tahun</w:t>
      </w:r>
      <w:proofErr w:type="spellEnd"/>
      <w:r w:rsidRPr="003B1C76">
        <w:rPr>
          <w:rFonts w:ascii="Book Antiqua" w:eastAsia=".AppleSystemUIFont Regular" w:hAnsi="Book Antiqua" w:cs=".AppleSystemUIFont Regular"/>
          <w:szCs w:val="18"/>
          <w:lang w:val="en-GB"/>
        </w:rPr>
        <w:t xml:space="preserve"> 1950-an </w:t>
      </w:r>
      <w:proofErr w:type="spellStart"/>
      <w:r w:rsidRPr="003B1C76">
        <w:rPr>
          <w:rFonts w:ascii="Book Antiqua" w:eastAsia=".AppleSystemUIFont Regular" w:hAnsi="Book Antiqua" w:cs=".AppleSystemUIFont Regular"/>
          <w:szCs w:val="18"/>
          <w:lang w:val="en-GB"/>
        </w:rPr>
        <w:t>hingga</w:t>
      </w:r>
      <w:proofErr w:type="spellEnd"/>
      <w:r w:rsidRPr="003B1C76">
        <w:rPr>
          <w:rFonts w:ascii="Book Antiqua" w:eastAsia=".AppleSystemUIFont Regular" w:hAnsi="Book Antiqua" w:cs=".AppleSystemUIFont Regular"/>
          <w:szCs w:val="18"/>
          <w:lang w:val="en-GB"/>
        </w:rPr>
        <w:t xml:space="preserve"> 1980-an. In L. </w:t>
      </w:r>
      <w:proofErr w:type="spellStart"/>
      <w:r w:rsidRPr="003B1C76">
        <w:rPr>
          <w:rFonts w:ascii="Book Antiqua" w:eastAsia=".AppleSystemUIFont Regular" w:hAnsi="Book Antiqua" w:cs=".AppleSystemUIFont Regular"/>
          <w:szCs w:val="18"/>
          <w:lang w:val="en-GB"/>
        </w:rPr>
        <w:t>Ayundasari</w:t>
      </w:r>
      <w:proofErr w:type="spellEnd"/>
      <w:r w:rsidRPr="003B1C76">
        <w:rPr>
          <w:rFonts w:ascii="Book Antiqua" w:eastAsia=".AppleSystemUIFont Regular" w:hAnsi="Book Antiqua" w:cs=".AppleSystemUIFont Regular"/>
          <w:szCs w:val="18"/>
          <w:lang w:val="en-GB"/>
        </w:rPr>
        <w:t xml:space="preserve">, M.N.L. </w:t>
      </w:r>
      <w:proofErr w:type="spellStart"/>
      <w:r w:rsidRPr="003B1C76">
        <w:rPr>
          <w:rFonts w:ascii="Book Antiqua" w:eastAsia=".AppleSystemUIFont Regular" w:hAnsi="Book Antiqua" w:cs=".AppleSystemUIFont Regular"/>
          <w:szCs w:val="18"/>
          <w:lang w:val="en-GB"/>
        </w:rPr>
        <w:t>Khakim</w:t>
      </w:r>
      <w:proofErr w:type="spellEnd"/>
      <w:r w:rsidRPr="003B1C76">
        <w:rPr>
          <w:rFonts w:ascii="Book Antiqua" w:eastAsia=".AppleSystemUIFont Regular" w:hAnsi="Book Antiqua" w:cs=".AppleSystemUIFont Regular"/>
          <w:szCs w:val="18"/>
          <w:lang w:val="en-GB"/>
        </w:rPr>
        <w:t xml:space="preserve">, A. </w:t>
      </w:r>
      <w:proofErr w:type="spellStart"/>
      <w:r w:rsidRPr="003B1C76">
        <w:rPr>
          <w:rFonts w:ascii="Book Antiqua" w:eastAsia=".AppleSystemUIFont Regular" w:hAnsi="Book Antiqua" w:cs=".AppleSystemUIFont Regular"/>
          <w:szCs w:val="18"/>
          <w:lang w:val="en-GB"/>
        </w:rPr>
        <w:t>Subekti</w:t>
      </w:r>
      <w:proofErr w:type="spellEnd"/>
      <w:r w:rsidRPr="003B1C76">
        <w:rPr>
          <w:rFonts w:ascii="Book Antiqua" w:eastAsia=".AppleSystemUIFont Regular" w:hAnsi="Book Antiqua" w:cs=".AppleSystemUIFont Regular"/>
          <w:szCs w:val="18"/>
          <w:lang w:val="en-GB"/>
        </w:rPr>
        <w:t xml:space="preserve">, &amp; W.D. </w:t>
      </w:r>
      <w:proofErr w:type="spellStart"/>
      <w:r w:rsidRPr="003B1C76">
        <w:rPr>
          <w:rFonts w:ascii="Book Antiqua" w:eastAsia=".AppleSystemUIFont Regular" w:hAnsi="Book Antiqua" w:cs=".AppleSystemUIFont Regular"/>
          <w:szCs w:val="18"/>
          <w:lang w:val="en-GB"/>
        </w:rPr>
        <w:t>Sulistyo</w:t>
      </w:r>
      <w:proofErr w:type="spellEnd"/>
      <w:r w:rsidRPr="003B1C76">
        <w:rPr>
          <w:rFonts w:ascii="Book Antiqua" w:eastAsia=".AppleSystemUIFont Regular" w:hAnsi="Book Antiqua" w:cs=".AppleSystemUIFont Regular"/>
          <w:szCs w:val="18"/>
          <w:lang w:val="en-GB"/>
        </w:rPr>
        <w:t xml:space="preserve">, (eds.) </w:t>
      </w:r>
      <w:proofErr w:type="spellStart"/>
      <w:r w:rsidRPr="003B1C76">
        <w:rPr>
          <w:rFonts w:ascii="Book Antiqua" w:eastAsia=".AppleSystemUIFont Regular" w:hAnsi="Book Antiqua" w:cs=".AppleSystemUIFont Regular"/>
          <w:szCs w:val="18"/>
          <w:lang w:val="en-GB"/>
        </w:rPr>
        <w:t>Melihat</w:t>
      </w:r>
      <w:proofErr w:type="spellEnd"/>
      <w:r w:rsidRPr="003B1C76">
        <w:rPr>
          <w:rFonts w:ascii="Book Antiqua" w:eastAsia=".AppleSystemUIFont Regular" w:hAnsi="Book Antiqua" w:cs=".AppleSystemUIFont Regular"/>
          <w:szCs w:val="18"/>
          <w:lang w:val="en-GB"/>
        </w:rPr>
        <w:t xml:space="preserve"> Masa Lalu </w:t>
      </w:r>
      <w:proofErr w:type="spellStart"/>
      <w:r w:rsidRPr="003B1C76">
        <w:rPr>
          <w:rFonts w:ascii="Book Antiqua" w:eastAsia=".AppleSystemUIFont Regular" w:hAnsi="Book Antiqua" w:cs=".AppleSystemUIFont Regular"/>
          <w:szCs w:val="18"/>
          <w:lang w:val="en-GB"/>
        </w:rPr>
        <w:t>Melalui</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Kehidupan</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Sehari-hari</w:t>
      </w:r>
      <w:proofErr w:type="spellEnd"/>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Conference Proceeding</w:t>
      </w:r>
      <w:r w:rsidRPr="003B1C76">
        <w:rPr>
          <w:rFonts w:ascii="Book Antiqua" w:eastAsia=".AppleSystemUIFont Regular" w:hAnsi="Book Antiqua" w:cs=".AppleSystemUIFont Regular"/>
          <w:szCs w:val="18"/>
          <w:lang w:val="en-GB"/>
        </w:rPr>
        <w:t>, pp. 355-373.</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Ferguson, L. (2011). Promoting gender equality and empowering women? tourism and the third millennium development goal. </w:t>
      </w:r>
      <w:r w:rsidRPr="003B1C76">
        <w:rPr>
          <w:rFonts w:ascii="Book Antiqua" w:eastAsia=".AppleSystemUIFont Regular" w:hAnsi="Book Antiqua" w:cs=".AppleSystemUIFont Regular"/>
          <w:i/>
          <w:szCs w:val="18"/>
          <w:lang w:val="en-GB"/>
        </w:rPr>
        <w:t>Current Issues in Tourism</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14</w:t>
      </w:r>
      <w:r w:rsidRPr="003B1C76">
        <w:rPr>
          <w:rFonts w:ascii="Book Antiqua" w:eastAsia=".AppleSystemUIFont Regular" w:hAnsi="Book Antiqua" w:cs=".AppleSystemUIFont Regular"/>
          <w:szCs w:val="18"/>
          <w:lang w:val="en-GB"/>
        </w:rPr>
        <w:t xml:space="preserve">(3), 235–249. </w:t>
      </w:r>
      <w:hyperlink r:id="rId46" w:history="1">
        <w:r w:rsidRPr="003B1C76">
          <w:rPr>
            <w:rStyle w:val="16"/>
            <w:rFonts w:ascii="Book Antiqua" w:eastAsia=".AppleSystemUIFont Regular" w:hAnsi="Book Antiqua" w:cs=".AppleSystemUIFont Regular"/>
            <w:szCs w:val="18"/>
            <w:lang w:val="en-GB"/>
          </w:rPr>
          <w:t>https://doi.org/10.1080/13683500.2011.555522</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Ferguson, L., &amp; </w:t>
      </w:r>
      <w:proofErr w:type="spellStart"/>
      <w:r w:rsidRPr="003B1C76">
        <w:rPr>
          <w:rFonts w:ascii="Book Antiqua" w:eastAsia=".AppleSystemUIFont Regular" w:hAnsi="Book Antiqua" w:cs=".AppleSystemUIFont Regular"/>
          <w:szCs w:val="18"/>
          <w:lang w:val="en-GB"/>
        </w:rPr>
        <w:t>Alarcón</w:t>
      </w:r>
      <w:proofErr w:type="spellEnd"/>
      <w:r w:rsidRPr="003B1C76">
        <w:rPr>
          <w:rFonts w:ascii="Book Antiqua" w:eastAsia=".AppleSystemUIFont Regular" w:hAnsi="Book Antiqua" w:cs=".AppleSystemUIFont Regular"/>
          <w:szCs w:val="18"/>
          <w:lang w:val="en-GB"/>
        </w:rPr>
        <w:t xml:space="preserve">, D. M. (2015). Gender and sustainable tourism: reflections on theory and practice. </w:t>
      </w:r>
      <w:r w:rsidRPr="003B1C76">
        <w:rPr>
          <w:rFonts w:ascii="Book Antiqua" w:eastAsia=".AppleSystemUIFont Regular" w:hAnsi="Book Antiqua" w:cs=".AppleSystemUIFont Regular"/>
          <w:i/>
          <w:szCs w:val="18"/>
          <w:lang w:val="en-GB"/>
        </w:rPr>
        <w:t>Journal of Sustainable Tourism</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23</w:t>
      </w:r>
      <w:r w:rsidRPr="003B1C76">
        <w:rPr>
          <w:rFonts w:ascii="Book Antiqua" w:eastAsia=".AppleSystemUIFont Regular" w:hAnsi="Book Antiqua" w:cs=".AppleSystemUIFont Regular"/>
          <w:szCs w:val="18"/>
          <w:lang w:val="en-GB"/>
        </w:rPr>
        <w:t xml:space="preserve">(3), 401–416. </w:t>
      </w:r>
      <w:hyperlink r:id="rId47" w:history="1">
        <w:r w:rsidRPr="003B1C76">
          <w:rPr>
            <w:rStyle w:val="16"/>
            <w:rFonts w:ascii="Book Antiqua" w:eastAsia=".AppleSystemUIFont Regular" w:hAnsi="Book Antiqua" w:cs=".AppleSystemUIFont Regular"/>
            <w:szCs w:val="18"/>
            <w:lang w:val="en-GB"/>
          </w:rPr>
          <w:t>https://doi.org/10.1080/09669582.2014.957208</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Figueroa-Domecq, C., Pritchard, A., Segovia-Pérez, M., Morgan, N., &amp; </w:t>
      </w:r>
      <w:proofErr w:type="spellStart"/>
      <w:r w:rsidRPr="003B1C76">
        <w:rPr>
          <w:rFonts w:ascii="Book Antiqua" w:eastAsia=".AppleSystemUIFont Regular" w:hAnsi="Book Antiqua" w:cs=".AppleSystemUIFont Regular"/>
          <w:szCs w:val="18"/>
          <w:lang w:val="en-GB"/>
        </w:rPr>
        <w:t>Villacé-Molinero</w:t>
      </w:r>
      <w:proofErr w:type="spellEnd"/>
      <w:r w:rsidRPr="003B1C76">
        <w:rPr>
          <w:rFonts w:ascii="Book Antiqua" w:eastAsia=".AppleSystemUIFont Regular" w:hAnsi="Book Antiqua" w:cs=".AppleSystemUIFont Regular"/>
          <w:szCs w:val="18"/>
          <w:lang w:val="en-GB"/>
        </w:rPr>
        <w:t xml:space="preserve">, T. (2015). Tourism gender research: A critical accounting.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52</w:t>
      </w:r>
      <w:r w:rsidRPr="003B1C76">
        <w:rPr>
          <w:rFonts w:ascii="Book Antiqua" w:eastAsia=".AppleSystemUIFont Regular" w:hAnsi="Book Antiqua" w:cs=".AppleSystemUIFont Regular"/>
          <w:szCs w:val="18"/>
          <w:lang w:val="en-GB"/>
        </w:rPr>
        <w:t xml:space="preserve">, 87–103. </w:t>
      </w:r>
      <w:hyperlink r:id="rId48" w:history="1">
        <w:r w:rsidRPr="003B1C76">
          <w:rPr>
            <w:rStyle w:val="16"/>
            <w:rFonts w:ascii="Book Antiqua" w:eastAsia=".AppleSystemUIFont Regular" w:hAnsi="Book Antiqua" w:cs=".AppleSystemUIFont Regular"/>
            <w:szCs w:val="18"/>
            <w:lang w:val="en-GB"/>
          </w:rPr>
          <w:t>https://doi.org/10.1108/JTA-02-2019-0009</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Figueroa-Domecq, C., &amp; Segovia-Perez, M. (2020). Application of a gender perspective in tourism research: A theoretical and practical approach. </w:t>
      </w:r>
      <w:r w:rsidRPr="003B1C76">
        <w:rPr>
          <w:rFonts w:ascii="Book Antiqua" w:eastAsia=".AppleSystemUIFont Regular" w:hAnsi="Book Antiqua" w:cs=".AppleSystemUIFont Regular"/>
          <w:i/>
          <w:szCs w:val="18"/>
          <w:lang w:val="en-GB"/>
        </w:rPr>
        <w:t>Journal of Tourism Analysis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27</w:t>
      </w:r>
      <w:r w:rsidRPr="003B1C76">
        <w:rPr>
          <w:rFonts w:ascii="Book Antiqua" w:eastAsia=".AppleSystemUIFont Regular" w:hAnsi="Book Antiqua" w:cs=".AppleSystemUIFont Regular"/>
          <w:szCs w:val="18"/>
          <w:lang w:val="en-GB"/>
        </w:rPr>
        <w:t xml:space="preserve">(2), 251–270. </w:t>
      </w:r>
      <w:hyperlink r:id="rId49" w:history="1">
        <w:r w:rsidRPr="003B1C76">
          <w:rPr>
            <w:rStyle w:val="16"/>
            <w:rFonts w:ascii="Book Antiqua" w:eastAsia=".AppleSystemUIFont Regular" w:hAnsi="Book Antiqua" w:cs=".AppleSystemUIFont Regular"/>
            <w:szCs w:val="18"/>
            <w:lang w:val="en-GB"/>
          </w:rPr>
          <w:t>https://doi.org/10.1108/JTA-02-2019-0009</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Fong, L. H. N., Law, R., &amp; Ye, B. H. (2020). Outlook of tourism recovery amid an epidemic: Importance of outbreak control by the government.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 xml:space="preserve">. </w:t>
      </w:r>
      <w:hyperlink r:id="rId50" w:history="1">
        <w:r w:rsidRPr="003B1C76">
          <w:rPr>
            <w:rStyle w:val="16"/>
            <w:rFonts w:ascii="Book Antiqua" w:eastAsia=".AppleSystemUIFont Regular" w:hAnsi="Book Antiqua" w:cs=".AppleSystemUIFont Regular"/>
            <w:szCs w:val="18"/>
            <w:lang w:val="en-GB"/>
          </w:rPr>
          <w:t>https://doi.org/10.1016/j.annals.2020.102951</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Foo, L. P., Chin, M. Y., Tan, K. L., &amp; </w:t>
      </w:r>
      <w:proofErr w:type="spellStart"/>
      <w:r w:rsidRPr="003B1C76">
        <w:rPr>
          <w:rFonts w:ascii="Book Antiqua" w:eastAsia=".AppleSystemUIFont Regular" w:hAnsi="Book Antiqua" w:cs=".AppleSystemUIFont Regular"/>
          <w:szCs w:val="18"/>
          <w:lang w:val="en-GB"/>
        </w:rPr>
        <w:t>Phuah</w:t>
      </w:r>
      <w:proofErr w:type="spellEnd"/>
      <w:r w:rsidRPr="003B1C76">
        <w:rPr>
          <w:rFonts w:ascii="Book Antiqua" w:eastAsia=".AppleSystemUIFont Regular" w:hAnsi="Book Antiqua" w:cs=".AppleSystemUIFont Regular"/>
          <w:szCs w:val="18"/>
          <w:lang w:val="en-GB"/>
        </w:rPr>
        <w:t xml:space="preserve">, K. T. (2020). The impact of COVID-19 on tourism industry in </w:t>
      </w:r>
      <w:r w:rsidRPr="003B1C76">
        <w:rPr>
          <w:rFonts w:ascii="Book Antiqua" w:eastAsia=".AppleSystemUIFont Regular" w:hAnsi="Book Antiqua" w:cs=".AppleSystemUIFont Regular"/>
          <w:szCs w:val="18"/>
          <w:lang w:val="en-GB"/>
        </w:rPr>
        <w:lastRenderedPageBreak/>
        <w:t xml:space="preserve">Malaysia. </w:t>
      </w:r>
      <w:r w:rsidRPr="003B1C76">
        <w:rPr>
          <w:rFonts w:ascii="Book Antiqua" w:eastAsia=".AppleSystemUIFont Regular" w:hAnsi="Book Antiqua" w:cs=".AppleSystemUIFont Regular"/>
          <w:i/>
          <w:szCs w:val="18"/>
          <w:lang w:val="en-GB"/>
        </w:rPr>
        <w:t>Current Issues in Tourism</w:t>
      </w:r>
      <w:r w:rsidRPr="003B1C76">
        <w:rPr>
          <w:rFonts w:ascii="Book Antiqua" w:eastAsia=".AppleSystemUIFont Regular" w:hAnsi="Book Antiqua" w:cs=".AppleSystemUIFont Regular"/>
          <w:szCs w:val="18"/>
          <w:lang w:val="en-GB"/>
        </w:rPr>
        <w:t xml:space="preserve">, 1–5. </w:t>
      </w:r>
      <w:hyperlink r:id="rId51" w:history="1">
        <w:r w:rsidRPr="003B1C76">
          <w:rPr>
            <w:rStyle w:val="16"/>
            <w:rFonts w:ascii="Book Antiqua" w:eastAsia=".AppleSystemUIFont Regular" w:hAnsi="Book Antiqua" w:cs=".AppleSystemUIFont Regular"/>
            <w:szCs w:val="18"/>
            <w:lang w:val="en-GB"/>
          </w:rPr>
          <w:t>https://doi.org/10.1080/13683500.2020.1777951</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Füssel</w:t>
      </w:r>
      <w:proofErr w:type="spellEnd"/>
      <w:r w:rsidRPr="003B1C76">
        <w:rPr>
          <w:rFonts w:ascii="Book Antiqua" w:eastAsia=".AppleSystemUIFont Regular" w:hAnsi="Book Antiqua" w:cs=".AppleSystemUIFont Regular"/>
          <w:szCs w:val="18"/>
          <w:lang w:val="en-GB"/>
        </w:rPr>
        <w:t xml:space="preserve">, H. M. (2007). Vulnerability: A generally applicable conceptual framework for climate change research. </w:t>
      </w:r>
      <w:r w:rsidRPr="003B1C76">
        <w:rPr>
          <w:rFonts w:ascii="Book Antiqua" w:eastAsia=".AppleSystemUIFont Regular" w:hAnsi="Book Antiqua" w:cs=".AppleSystemUIFont Regular"/>
          <w:i/>
          <w:iCs/>
          <w:szCs w:val="18"/>
          <w:lang w:val="en-GB"/>
        </w:rPr>
        <w:t>Global Environmental Change</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17</w:t>
      </w:r>
      <w:r w:rsidRPr="003B1C76">
        <w:rPr>
          <w:rFonts w:ascii="Book Antiqua" w:eastAsia=".AppleSystemUIFont Regular" w:hAnsi="Book Antiqua" w:cs=".AppleSystemUIFont Regular"/>
          <w:szCs w:val="18"/>
          <w:lang w:val="en-GB"/>
        </w:rPr>
        <w:t xml:space="preserve">(2), 155–167. </w:t>
      </w:r>
      <w:hyperlink r:id="rId52" w:history="1">
        <w:r w:rsidRPr="003B1C76">
          <w:rPr>
            <w:rStyle w:val="16"/>
            <w:rFonts w:ascii="Book Antiqua" w:eastAsia=".AppleSystemUIFont Regular" w:hAnsi="Book Antiqua" w:cs=".AppleSystemUIFont Regular"/>
            <w:szCs w:val="18"/>
            <w:lang w:val="en-GB"/>
          </w:rPr>
          <w:t>https://doi.org/10.1016/j.gloenvcha.2006.05.002</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Gallego, I., &amp; Font, X. (2020). Changes in air passenger demand as a result of the COVID-19 crisis: using Big Data to inform tourism policy. </w:t>
      </w:r>
      <w:r w:rsidRPr="003B1C76">
        <w:rPr>
          <w:rFonts w:ascii="Book Antiqua" w:eastAsia=".AppleSystemUIFont Regular" w:hAnsi="Book Antiqua" w:cs=".AppleSystemUIFont Regular"/>
          <w:i/>
          <w:szCs w:val="18"/>
          <w:lang w:val="en-GB"/>
        </w:rPr>
        <w:t>Journal of Sustainable Tourism</w:t>
      </w:r>
      <w:r w:rsidRPr="003B1C76">
        <w:rPr>
          <w:rFonts w:ascii="Book Antiqua" w:eastAsia=".AppleSystemUIFont Regular" w:hAnsi="Book Antiqua" w:cs=".AppleSystemUIFont Regular"/>
          <w:szCs w:val="18"/>
          <w:lang w:val="en-GB"/>
        </w:rPr>
        <w:t xml:space="preserve">, 1–20. </w:t>
      </w:r>
      <w:hyperlink r:id="rId53" w:history="1">
        <w:r w:rsidRPr="003B1C76">
          <w:rPr>
            <w:rStyle w:val="16"/>
            <w:rFonts w:ascii="Book Antiqua" w:eastAsia=".AppleSystemUIFont Regular" w:hAnsi="Book Antiqua" w:cs=".AppleSystemUIFont Regular"/>
            <w:szCs w:val="18"/>
            <w:lang w:val="en-GB"/>
          </w:rPr>
          <w:t>https://doi.org/10.1080/09669582.2020.1773476</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Ghodsee</w:t>
      </w:r>
      <w:proofErr w:type="spellEnd"/>
      <w:r w:rsidRPr="003B1C76">
        <w:rPr>
          <w:rFonts w:ascii="Book Antiqua" w:eastAsia=".AppleSystemUIFont Regular" w:hAnsi="Book Antiqua" w:cs=".AppleSystemUIFont Regular"/>
          <w:szCs w:val="18"/>
          <w:lang w:val="en-GB"/>
        </w:rPr>
        <w:t xml:space="preserve">, K. (2003). State support in the market: women and tourism employment in post-Socialist. </w:t>
      </w:r>
      <w:r w:rsidRPr="003B1C76">
        <w:rPr>
          <w:rFonts w:ascii="Book Antiqua" w:eastAsia=".AppleSystemUIFont Regular" w:hAnsi="Book Antiqua" w:cs=".AppleSystemUIFont Regular"/>
          <w:i/>
          <w:szCs w:val="18"/>
          <w:lang w:val="en-GB"/>
        </w:rPr>
        <w:t>International Journal of Politics, Culture and Society</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16</w:t>
      </w:r>
      <w:r w:rsidRPr="003B1C76">
        <w:rPr>
          <w:rFonts w:ascii="Book Antiqua" w:eastAsia=".AppleSystemUIFont Regular" w:hAnsi="Book Antiqua" w:cs=".AppleSystemUIFont Regular"/>
          <w:szCs w:val="18"/>
          <w:lang w:val="en-GB"/>
        </w:rPr>
        <w:t xml:space="preserve">(3), 465–482. </w:t>
      </w:r>
      <w:hyperlink r:id="rId54" w:history="1">
        <w:r w:rsidRPr="003B1C76">
          <w:rPr>
            <w:rStyle w:val="16"/>
            <w:rFonts w:ascii="Book Antiqua" w:eastAsia=".AppleSystemUIFont Regular" w:hAnsi="Book Antiqua" w:cs=".AppleSystemUIFont Regular"/>
            <w:szCs w:val="18"/>
            <w:lang w:val="en-GB"/>
          </w:rPr>
          <w:t>https://doi.org/10.1023/A:1022364630327</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Gössling</w:t>
      </w:r>
      <w:proofErr w:type="spellEnd"/>
      <w:r w:rsidRPr="003B1C76">
        <w:rPr>
          <w:rFonts w:ascii="Book Antiqua" w:eastAsia=".AppleSystemUIFont Regular" w:hAnsi="Book Antiqua" w:cs=".AppleSystemUIFont Regular"/>
          <w:szCs w:val="18"/>
          <w:lang w:val="en-GB"/>
        </w:rPr>
        <w:t xml:space="preserve">, S., Scott, D., &amp; Hall, C. M. (2020). Pandemics, tourism and global change: a rapid assessment of COVID-19. </w:t>
      </w:r>
      <w:r w:rsidRPr="003B1C76">
        <w:rPr>
          <w:rFonts w:ascii="Book Antiqua" w:eastAsia=".AppleSystemUIFont Regular" w:hAnsi="Book Antiqua" w:cs=".AppleSystemUIFont Regular"/>
          <w:i/>
          <w:szCs w:val="18"/>
          <w:lang w:val="en-GB"/>
        </w:rPr>
        <w:t>Journal of Sustainable Tourism</w:t>
      </w:r>
      <w:r w:rsidRPr="003B1C76">
        <w:rPr>
          <w:rFonts w:ascii="Book Antiqua" w:eastAsia=".AppleSystemUIFont Regular" w:hAnsi="Book Antiqua" w:cs=".AppleSystemUIFont Regular"/>
          <w:szCs w:val="18"/>
          <w:lang w:val="en-GB"/>
        </w:rPr>
        <w:t xml:space="preserve">, 1–20. </w:t>
      </w:r>
      <w:hyperlink r:id="rId55" w:history="1">
        <w:r w:rsidRPr="003B1C76">
          <w:rPr>
            <w:rStyle w:val="16"/>
            <w:rFonts w:ascii="Book Antiqua" w:eastAsia=".AppleSystemUIFont Regular" w:hAnsi="Book Antiqua" w:cs=".AppleSystemUIFont Regular"/>
            <w:szCs w:val="18"/>
            <w:lang w:val="en-GB"/>
          </w:rPr>
          <w:t>https://doi.org/10.1080/09669582.2020.1758708</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Hall, C. M. (2006). New Zealand tourism entrepreneur attitudes and behaviours with respect to climate change adaptation and mitigation. </w:t>
      </w:r>
      <w:r w:rsidRPr="003B1C76">
        <w:rPr>
          <w:rFonts w:ascii="Book Antiqua" w:eastAsia=".AppleSystemUIFont Regular" w:hAnsi="Book Antiqua" w:cs=".AppleSystemUIFont Regular"/>
          <w:i/>
          <w:iCs/>
          <w:szCs w:val="18"/>
          <w:lang w:val="en-GB"/>
        </w:rPr>
        <w:t>International Journal of Innovation and Sustainable Development</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w:t>
      </w:r>
      <w:r w:rsidRPr="003B1C76">
        <w:rPr>
          <w:rFonts w:ascii="Book Antiqua" w:eastAsia=".AppleSystemUIFont Regular" w:hAnsi="Book Antiqua" w:cs=".AppleSystemUIFont Regular"/>
          <w:szCs w:val="18"/>
          <w:lang w:val="en-GB"/>
        </w:rPr>
        <w:t xml:space="preserve">(3), 229–237. </w:t>
      </w:r>
      <w:hyperlink r:id="rId56" w:history="1">
        <w:r w:rsidRPr="003B1C76">
          <w:rPr>
            <w:rStyle w:val="16"/>
            <w:rFonts w:ascii="Book Antiqua" w:eastAsia=".AppleSystemUIFont Regular" w:hAnsi="Book Antiqua" w:cs=".AppleSystemUIFont Regular"/>
            <w:szCs w:val="18"/>
            <w:lang w:val="en-GB"/>
          </w:rPr>
          <w:t>https://doi.org/10.1504/IJISD.2006.012424</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Hall, C. M., Scott, D., &amp; </w:t>
      </w:r>
      <w:proofErr w:type="spellStart"/>
      <w:r w:rsidRPr="003B1C76">
        <w:rPr>
          <w:rFonts w:ascii="Book Antiqua" w:eastAsia=".AppleSystemUIFont Regular" w:hAnsi="Book Antiqua" w:cs=".AppleSystemUIFont Regular"/>
          <w:szCs w:val="18"/>
          <w:lang w:val="en-GB"/>
        </w:rPr>
        <w:t>Gössling</w:t>
      </w:r>
      <w:proofErr w:type="spellEnd"/>
      <w:r w:rsidRPr="003B1C76">
        <w:rPr>
          <w:rFonts w:ascii="Book Antiqua" w:eastAsia=".AppleSystemUIFont Regular" w:hAnsi="Book Antiqua" w:cs=".AppleSystemUIFont Regular"/>
          <w:szCs w:val="18"/>
          <w:lang w:val="en-GB"/>
        </w:rPr>
        <w:t xml:space="preserve">, S. (2020). Pandemics, transformations and tourism: be careful what you wish for. </w:t>
      </w:r>
      <w:r w:rsidRPr="003B1C76">
        <w:rPr>
          <w:rFonts w:ascii="Book Antiqua" w:eastAsia=".AppleSystemUIFont Regular" w:hAnsi="Book Antiqua" w:cs=".AppleSystemUIFont Regular"/>
          <w:i/>
          <w:szCs w:val="18"/>
          <w:lang w:val="en-GB"/>
        </w:rPr>
        <w:t>Tourism Geographies</w:t>
      </w:r>
      <w:r w:rsidRPr="003B1C76">
        <w:rPr>
          <w:rFonts w:ascii="Book Antiqua" w:eastAsia=".AppleSystemUIFont Regular" w:hAnsi="Book Antiqua" w:cs=".AppleSystemUIFont Regular"/>
          <w:szCs w:val="18"/>
          <w:lang w:val="en-GB"/>
        </w:rPr>
        <w:t xml:space="preserve">, 22(3), 577–598. </w:t>
      </w:r>
      <w:hyperlink r:id="rId57" w:history="1">
        <w:r w:rsidRPr="003B1C76">
          <w:rPr>
            <w:rStyle w:val="16"/>
            <w:rFonts w:ascii="Book Antiqua" w:eastAsia=".AppleSystemUIFont Regular" w:hAnsi="Book Antiqua" w:cs=".AppleSystemUIFont Regular"/>
            <w:szCs w:val="18"/>
            <w:lang w:val="en-GB"/>
          </w:rPr>
          <w:t>https://doi.org/10.1080/14616688.2020.1759131</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Hamzah, A., &amp; Hampton, M. P. (2013). Resilience and non-linear change in island tourism. </w:t>
      </w:r>
      <w:r w:rsidRPr="003B1C76">
        <w:rPr>
          <w:rFonts w:ascii="Book Antiqua" w:eastAsia=".AppleSystemUIFont Regular" w:hAnsi="Book Antiqua" w:cs=".AppleSystemUIFont Regular"/>
          <w:i/>
          <w:szCs w:val="18"/>
          <w:lang w:val="en-GB"/>
        </w:rPr>
        <w:t>Tourism Geographies</w:t>
      </w:r>
      <w:r w:rsidRPr="003B1C76">
        <w:rPr>
          <w:rFonts w:ascii="Book Antiqua" w:eastAsia=".AppleSystemUIFont Regular" w:hAnsi="Book Antiqua" w:cs=".AppleSystemUIFont Regular"/>
          <w:szCs w:val="18"/>
          <w:lang w:val="en-GB"/>
        </w:rPr>
        <w:t>,</w:t>
      </w:r>
      <w:r w:rsidRPr="003B1C76">
        <w:rPr>
          <w:rFonts w:ascii="Book Antiqua" w:eastAsia=".AppleSystemUIFont Regular" w:hAnsi="Book Antiqua" w:cs=".AppleSystemUIFont Regular"/>
          <w:i/>
          <w:iCs/>
          <w:szCs w:val="18"/>
          <w:lang w:val="en-GB"/>
        </w:rPr>
        <w:t xml:space="preserve"> 15</w:t>
      </w:r>
      <w:r w:rsidRPr="003B1C76">
        <w:rPr>
          <w:rFonts w:ascii="Book Antiqua" w:eastAsia=".AppleSystemUIFont Regular" w:hAnsi="Book Antiqua" w:cs=".AppleSystemUIFont Regular"/>
          <w:szCs w:val="18"/>
          <w:lang w:val="en-GB"/>
        </w:rPr>
        <w:t xml:space="preserve">(1), 43–67. </w:t>
      </w:r>
      <w:hyperlink r:id="rId58" w:history="1">
        <w:r w:rsidRPr="003B1C76">
          <w:rPr>
            <w:rStyle w:val="16"/>
            <w:rFonts w:ascii="Book Antiqua" w:eastAsia=".AppleSystemUIFont Regular" w:hAnsi="Book Antiqua" w:cs=".AppleSystemUIFont Regular"/>
            <w:szCs w:val="18"/>
            <w:lang w:val="en-GB"/>
          </w:rPr>
          <w:t>https://doi.org/10.1080/14616688.2012.675582</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color w:val="000000"/>
          <w:szCs w:val="18"/>
          <w:lang w:val="en-GB"/>
        </w:rPr>
      </w:pPr>
      <w:proofErr w:type="spellStart"/>
      <w:r w:rsidRPr="003B1C76">
        <w:rPr>
          <w:rFonts w:ascii="Book Antiqua" w:eastAsia=".AppleSystemUIFont Regular" w:hAnsi="Book Antiqua" w:cs=".AppleSystemUIFont Regular"/>
          <w:color w:val="000000"/>
          <w:szCs w:val="18"/>
          <w:lang w:val="en-GB"/>
        </w:rPr>
        <w:t>Handmer</w:t>
      </w:r>
      <w:proofErr w:type="spellEnd"/>
      <w:r w:rsidRPr="003B1C76">
        <w:rPr>
          <w:rFonts w:ascii="Book Antiqua" w:eastAsia=".AppleSystemUIFont Regular" w:hAnsi="Book Antiqua" w:cs=".AppleSystemUIFont Regular"/>
          <w:color w:val="000000"/>
          <w:szCs w:val="18"/>
          <w:lang w:val="en-GB"/>
        </w:rPr>
        <w:t xml:space="preserve">, J., </w:t>
      </w:r>
      <w:proofErr w:type="spellStart"/>
      <w:r w:rsidRPr="003B1C76">
        <w:rPr>
          <w:rFonts w:ascii="Book Antiqua" w:eastAsia=".AppleSystemUIFont Regular" w:hAnsi="Book Antiqua" w:cs=".AppleSystemUIFont Regular"/>
          <w:color w:val="000000"/>
          <w:szCs w:val="18"/>
          <w:lang w:val="en-GB"/>
        </w:rPr>
        <w:t>Dovers</w:t>
      </w:r>
      <w:proofErr w:type="spellEnd"/>
      <w:r w:rsidRPr="003B1C76">
        <w:rPr>
          <w:rFonts w:ascii="Book Antiqua" w:eastAsia=".AppleSystemUIFont Regular" w:hAnsi="Book Antiqua" w:cs=".AppleSystemUIFont Regular"/>
          <w:color w:val="000000"/>
          <w:szCs w:val="18"/>
          <w:lang w:val="en-GB"/>
        </w:rPr>
        <w:t xml:space="preserve">, S., &amp; Downing, T.E. (1999). Societal vulnerability to climate change and variability. </w:t>
      </w:r>
      <w:r w:rsidRPr="003B1C76">
        <w:rPr>
          <w:rFonts w:ascii="Book Antiqua" w:eastAsia=".AppleSystemUIFont Regular" w:hAnsi="Book Antiqua" w:cs=".AppleSystemUIFont Regular"/>
          <w:i/>
          <w:color w:val="000000"/>
          <w:szCs w:val="18"/>
          <w:lang w:val="en-GB"/>
        </w:rPr>
        <w:t>Mitigation and Adaptation Strategies for Global Change,</w:t>
      </w:r>
      <w:r w:rsidRPr="003B1C76">
        <w:rPr>
          <w:rFonts w:ascii="Book Antiqua" w:eastAsia=".AppleSystemUIFont Regular" w:hAnsi="Book Antiqua" w:cs=".AppleSystemUIFont Regular"/>
          <w:color w:val="000000"/>
          <w:szCs w:val="18"/>
          <w:lang w:val="en-GB"/>
        </w:rPr>
        <w:t xml:space="preserve"> </w:t>
      </w:r>
      <w:r w:rsidRPr="003B1C76">
        <w:rPr>
          <w:rFonts w:ascii="Book Antiqua" w:eastAsia=".AppleSystemUIFont Regular" w:hAnsi="Book Antiqua" w:cs=".AppleSystemUIFont Regular"/>
          <w:i/>
          <w:iCs/>
          <w:color w:val="000000"/>
          <w:szCs w:val="18"/>
          <w:lang w:val="en-GB"/>
        </w:rPr>
        <w:t>4</w:t>
      </w:r>
      <w:r w:rsidRPr="003B1C76">
        <w:rPr>
          <w:rFonts w:ascii="Book Antiqua" w:eastAsia=".AppleSystemUIFont Regular" w:hAnsi="Book Antiqua" w:cs=".AppleSystemUIFont Regular"/>
          <w:color w:val="000000"/>
          <w:szCs w:val="18"/>
          <w:lang w:val="en-GB"/>
        </w:rPr>
        <w:t>, 267–281.</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Hanson, S. (2009). Changing places through women’s entrepreneurship. </w:t>
      </w:r>
      <w:r w:rsidRPr="003B1C76">
        <w:rPr>
          <w:rFonts w:ascii="Book Antiqua" w:eastAsia=".AppleSystemUIFont Regular" w:hAnsi="Book Antiqua" w:cs=".AppleSystemUIFont Regular"/>
          <w:i/>
          <w:szCs w:val="18"/>
          <w:lang w:val="en-GB"/>
        </w:rPr>
        <w:t>Economic Geography</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szCs w:val="18"/>
          <w:lang w:val="en-GB"/>
        </w:rPr>
        <w:t>85</w:t>
      </w:r>
      <w:r w:rsidRPr="003B1C76">
        <w:rPr>
          <w:rFonts w:ascii="Book Antiqua" w:eastAsia=".AppleSystemUIFont Regular" w:hAnsi="Book Antiqua" w:cs=".AppleSystemUIFont Regular"/>
          <w:szCs w:val="18"/>
          <w:lang w:val="en-GB"/>
        </w:rPr>
        <w:t>(3), 245–267.</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Harvey, M. J., Hunt, J., &amp; Harris, C. C. (1995). Gender and community tourism dependence level.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szCs w:val="18"/>
          <w:lang w:val="en-GB"/>
        </w:rPr>
        <w:t>22</w:t>
      </w:r>
      <w:r w:rsidRPr="003B1C76">
        <w:rPr>
          <w:rFonts w:ascii="Book Antiqua" w:eastAsia=".AppleSystemUIFont Regular" w:hAnsi="Book Antiqua" w:cs=".AppleSystemUIFont Regular"/>
          <w:szCs w:val="18"/>
          <w:lang w:val="en-GB"/>
        </w:rPr>
        <w:t>(2), 349–366.</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Hirani, S., </w:t>
      </w:r>
      <w:proofErr w:type="spellStart"/>
      <w:r w:rsidRPr="003B1C76">
        <w:rPr>
          <w:rFonts w:ascii="Book Antiqua" w:eastAsia=".AppleSystemUIFont Regular" w:hAnsi="Book Antiqua" w:cs=".AppleSystemUIFont Regular"/>
          <w:szCs w:val="18"/>
          <w:lang w:val="en-GB"/>
        </w:rPr>
        <w:t>Lasiuk</w:t>
      </w:r>
      <w:proofErr w:type="spellEnd"/>
      <w:r w:rsidRPr="003B1C76">
        <w:rPr>
          <w:rFonts w:ascii="Book Antiqua" w:eastAsia=".AppleSystemUIFont Regular" w:hAnsi="Book Antiqua" w:cs=".AppleSystemUIFont Regular"/>
          <w:szCs w:val="18"/>
          <w:lang w:val="en-GB"/>
        </w:rPr>
        <w:t xml:space="preserve">, G., &amp; </w:t>
      </w:r>
      <w:proofErr w:type="spellStart"/>
      <w:r w:rsidRPr="003B1C76">
        <w:rPr>
          <w:rFonts w:ascii="Book Antiqua" w:eastAsia=".AppleSystemUIFont Regular" w:hAnsi="Book Antiqua" w:cs=".AppleSystemUIFont Regular"/>
          <w:szCs w:val="18"/>
          <w:lang w:val="en-GB"/>
        </w:rPr>
        <w:t>Hegadoren</w:t>
      </w:r>
      <w:proofErr w:type="spellEnd"/>
      <w:r w:rsidRPr="003B1C76">
        <w:rPr>
          <w:rFonts w:ascii="Book Antiqua" w:eastAsia=".AppleSystemUIFont Regular" w:hAnsi="Book Antiqua" w:cs=".AppleSystemUIFont Regular"/>
          <w:szCs w:val="18"/>
          <w:lang w:val="en-GB"/>
        </w:rPr>
        <w:t xml:space="preserve">, K. (2016). The intersection of gender and resilience. </w:t>
      </w:r>
      <w:r w:rsidRPr="003B1C76">
        <w:rPr>
          <w:rFonts w:ascii="Book Antiqua" w:eastAsia=".AppleSystemUIFont Regular" w:hAnsi="Book Antiqua" w:cs=".AppleSystemUIFont Regular"/>
          <w:i/>
          <w:szCs w:val="18"/>
          <w:lang w:val="en-GB"/>
        </w:rPr>
        <w:t>Journal of Psychiatric and Mental Health Nursing</w:t>
      </w:r>
      <w:r w:rsidRPr="003B1C76">
        <w:rPr>
          <w:rFonts w:ascii="Book Antiqua" w:eastAsia=".AppleSystemUIFont Regular" w:hAnsi="Book Antiqua" w:cs=".AppleSystemUIFont Regular"/>
          <w:szCs w:val="18"/>
          <w:lang w:val="en-GB"/>
        </w:rPr>
        <w:t xml:space="preserve">, 23(6–7), 455–467. </w:t>
      </w:r>
      <w:hyperlink r:id="rId59" w:history="1">
        <w:r w:rsidRPr="003B1C76">
          <w:rPr>
            <w:rStyle w:val="16"/>
            <w:rFonts w:ascii="Book Antiqua" w:eastAsia=".AppleSystemUIFont Regular" w:hAnsi="Book Antiqua" w:cs=".AppleSystemUIFont Regular"/>
            <w:szCs w:val="18"/>
            <w:lang w:val="en-GB"/>
          </w:rPr>
          <w:t>https://doi.org/10.1111/jpm.12313</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Hong, P., Huang, C., &amp; Li, B. (2012). Crisis management for SMEs: Insights from a multiple-case study. </w:t>
      </w:r>
      <w:r w:rsidRPr="003B1C76">
        <w:rPr>
          <w:rFonts w:ascii="Book Antiqua" w:eastAsia=".AppleSystemUIFont Regular" w:hAnsi="Book Antiqua" w:cs=".AppleSystemUIFont Regular"/>
          <w:i/>
          <w:iCs/>
          <w:szCs w:val="18"/>
          <w:lang w:val="en-GB"/>
        </w:rPr>
        <w:t>International Journal of Business Excellence</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5</w:t>
      </w:r>
      <w:r w:rsidRPr="003B1C76">
        <w:rPr>
          <w:rFonts w:ascii="Book Antiqua" w:eastAsia=".AppleSystemUIFont Regular" w:hAnsi="Book Antiqua" w:cs=".AppleSystemUIFont Regular"/>
          <w:szCs w:val="18"/>
          <w:lang w:val="en-GB"/>
        </w:rPr>
        <w:t xml:space="preserve">(5), 535–553. </w:t>
      </w:r>
      <w:hyperlink r:id="rId60" w:history="1">
        <w:r w:rsidRPr="003B1C76">
          <w:rPr>
            <w:rStyle w:val="16"/>
            <w:rFonts w:ascii="Book Antiqua" w:eastAsia=".AppleSystemUIFont Regular" w:hAnsi="Book Antiqua" w:cs=".AppleSystemUIFont Regular"/>
            <w:szCs w:val="18"/>
            <w:lang w:val="en-GB"/>
          </w:rPr>
          <w:t>https://doi.org/10.1504/IJBEX.2012.048802</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Ioannides, D., &amp; </w:t>
      </w:r>
      <w:proofErr w:type="spellStart"/>
      <w:r w:rsidRPr="003B1C76">
        <w:rPr>
          <w:rFonts w:ascii="Book Antiqua" w:eastAsia=".AppleSystemUIFont Regular" w:hAnsi="Book Antiqua" w:cs=".AppleSystemUIFont Regular"/>
          <w:szCs w:val="18"/>
          <w:lang w:val="en-GB"/>
        </w:rPr>
        <w:t>Gyimóthy</w:t>
      </w:r>
      <w:proofErr w:type="spellEnd"/>
      <w:r w:rsidRPr="003B1C76">
        <w:rPr>
          <w:rFonts w:ascii="Book Antiqua" w:eastAsia=".AppleSystemUIFont Regular" w:hAnsi="Book Antiqua" w:cs=".AppleSystemUIFont Regular"/>
          <w:szCs w:val="18"/>
          <w:lang w:val="en-GB"/>
        </w:rPr>
        <w:t xml:space="preserve">, S. (2020). The COVID-19 crisis as an opportunity for escaping the unsustainable global tourism path. </w:t>
      </w:r>
      <w:r w:rsidRPr="003B1C76">
        <w:rPr>
          <w:rFonts w:ascii="Book Antiqua" w:eastAsia=".AppleSystemUIFont Regular" w:hAnsi="Book Antiqua" w:cs=".AppleSystemUIFont Regular"/>
          <w:i/>
          <w:szCs w:val="18"/>
          <w:lang w:val="en-GB"/>
        </w:rPr>
        <w:t>Tourism Geographies</w:t>
      </w:r>
      <w:r w:rsidRPr="003B1C76">
        <w:rPr>
          <w:rFonts w:ascii="Book Antiqua" w:eastAsia=".AppleSystemUIFont Regular" w:hAnsi="Book Antiqua" w:cs=".AppleSystemUIFont Regular"/>
          <w:szCs w:val="18"/>
          <w:lang w:val="en-GB"/>
        </w:rPr>
        <w:t xml:space="preserve">, 22(3), 624–632. </w:t>
      </w:r>
      <w:hyperlink r:id="rId61" w:history="1">
        <w:r w:rsidRPr="003B1C76">
          <w:rPr>
            <w:rStyle w:val="16"/>
            <w:rFonts w:ascii="Book Antiqua" w:eastAsia=".AppleSystemUIFont Regular" w:hAnsi="Book Antiqua" w:cs=".AppleSystemUIFont Regular"/>
            <w:szCs w:val="18"/>
            <w:lang w:val="en-GB"/>
          </w:rPr>
          <w:t>https://doi.org/10.1080/14616688.2020.1763445</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Ireland, M. (1993). Gender and class relations in tourism employment.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 20(4), 666–684.</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Jeffrey, H. (2019). Tourism and gendered hosts and guests. </w:t>
      </w:r>
      <w:r w:rsidRPr="003B1C76">
        <w:rPr>
          <w:rFonts w:ascii="Book Antiqua" w:eastAsia=".AppleSystemUIFont Regular" w:hAnsi="Book Antiqua" w:cs=".AppleSystemUIFont Regular"/>
          <w:i/>
          <w:szCs w:val="18"/>
          <w:lang w:val="en-GB"/>
        </w:rPr>
        <w:t>Tourism Review</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74</w:t>
      </w:r>
      <w:r w:rsidRPr="003B1C76">
        <w:rPr>
          <w:rFonts w:ascii="Book Antiqua" w:eastAsia=".AppleSystemUIFont Regular" w:hAnsi="Book Antiqua" w:cs=".AppleSystemUIFont Regular"/>
          <w:szCs w:val="18"/>
          <w:lang w:val="en-GB"/>
        </w:rPr>
        <w:t xml:space="preserve">(5), 1038–1046. </w:t>
      </w:r>
      <w:hyperlink r:id="rId62" w:history="1">
        <w:r w:rsidRPr="003B1C76">
          <w:rPr>
            <w:rStyle w:val="16"/>
            <w:rFonts w:ascii="Book Antiqua" w:eastAsia=".AppleSystemUIFont Regular" w:hAnsi="Book Antiqua" w:cs=".AppleSystemUIFont Regular"/>
            <w:szCs w:val="18"/>
            <w:lang w:val="en-GB"/>
          </w:rPr>
          <w:t>https://doi.org/10.1108/TR-02-2017-0024</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Jordan, F., &amp; Gibson, H. (2005). "We’re not stupid. . .but we’ll not stay home either": Experiences of solo women </w:t>
      </w:r>
      <w:proofErr w:type="spellStart"/>
      <w:r w:rsidRPr="003B1C76">
        <w:rPr>
          <w:rFonts w:ascii="Book Antiqua" w:eastAsia=".AppleSystemUIFont Regular" w:hAnsi="Book Antiqua" w:cs=".AppleSystemUIFont Regular"/>
          <w:szCs w:val="18"/>
          <w:lang w:val="en-GB"/>
        </w:rPr>
        <w:t>travelers</w:t>
      </w:r>
      <w:proofErr w:type="spellEnd"/>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Tourism Review International</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9</w:t>
      </w:r>
      <w:r w:rsidRPr="003B1C76">
        <w:rPr>
          <w:rFonts w:ascii="Book Antiqua" w:eastAsia=".AppleSystemUIFont Regular" w:hAnsi="Book Antiqua" w:cs=".AppleSystemUIFont Regular"/>
          <w:szCs w:val="18"/>
          <w:lang w:val="en-GB"/>
        </w:rPr>
        <w:t xml:space="preserve">(2), 195–211.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Jucan</w:t>
      </w:r>
      <w:proofErr w:type="spellEnd"/>
      <w:r w:rsidRPr="003B1C76">
        <w:rPr>
          <w:rFonts w:ascii="Book Antiqua" w:eastAsia=".AppleSystemUIFont Regular" w:hAnsi="Book Antiqua" w:cs=".AppleSystemUIFont Regular"/>
          <w:szCs w:val="18"/>
          <w:lang w:val="en-GB"/>
        </w:rPr>
        <w:t xml:space="preserve">, M. S., &amp; </w:t>
      </w:r>
      <w:proofErr w:type="spellStart"/>
      <w:r w:rsidRPr="003B1C76">
        <w:rPr>
          <w:rFonts w:ascii="Book Antiqua" w:eastAsia=".AppleSystemUIFont Regular" w:hAnsi="Book Antiqua" w:cs=".AppleSystemUIFont Regular"/>
          <w:szCs w:val="18"/>
          <w:lang w:val="en-GB"/>
        </w:rPr>
        <w:t>Jucan</w:t>
      </w:r>
      <w:proofErr w:type="spellEnd"/>
      <w:r w:rsidRPr="003B1C76">
        <w:rPr>
          <w:rFonts w:ascii="Book Antiqua" w:eastAsia=".AppleSystemUIFont Regular" w:hAnsi="Book Antiqua" w:cs=".AppleSystemUIFont Regular"/>
          <w:szCs w:val="18"/>
          <w:lang w:val="en-GB"/>
        </w:rPr>
        <w:t xml:space="preserve">, C. N. (2013). Gender trends in tourism destination. </w:t>
      </w:r>
      <w:r w:rsidRPr="003B1C76">
        <w:rPr>
          <w:rFonts w:ascii="Book Antiqua" w:eastAsia=".AppleSystemUIFont Regular" w:hAnsi="Book Antiqua" w:cs=".AppleSystemUIFont Regular"/>
          <w:i/>
          <w:szCs w:val="18"/>
          <w:lang w:val="en-GB"/>
        </w:rPr>
        <w:t xml:space="preserve">Procedia - Social and </w:t>
      </w:r>
      <w:proofErr w:type="spellStart"/>
      <w:r w:rsidRPr="003B1C76">
        <w:rPr>
          <w:rFonts w:ascii="Book Antiqua" w:eastAsia=".AppleSystemUIFont Regular" w:hAnsi="Book Antiqua" w:cs=".AppleSystemUIFont Regular"/>
          <w:i/>
          <w:szCs w:val="18"/>
          <w:lang w:val="en-GB"/>
        </w:rPr>
        <w:t>Behavioral</w:t>
      </w:r>
      <w:proofErr w:type="spellEnd"/>
      <w:r w:rsidRPr="003B1C76">
        <w:rPr>
          <w:rFonts w:ascii="Book Antiqua" w:eastAsia=".AppleSystemUIFont Regular" w:hAnsi="Book Antiqua" w:cs=".AppleSystemUIFont Regular"/>
          <w:i/>
          <w:szCs w:val="18"/>
          <w:lang w:val="en-GB"/>
        </w:rPr>
        <w:t xml:space="preserve"> Sciences</w:t>
      </w:r>
      <w:r w:rsidRPr="003B1C76">
        <w:rPr>
          <w:rFonts w:ascii="Book Antiqua" w:eastAsia=".AppleSystemUIFont Regular" w:hAnsi="Book Antiqua" w:cs=".AppleSystemUIFont Regular"/>
          <w:szCs w:val="18"/>
          <w:lang w:val="en-GB"/>
        </w:rPr>
        <w:t xml:space="preserve">, 92, 437–444. </w:t>
      </w:r>
      <w:hyperlink r:id="rId63" w:history="1">
        <w:r w:rsidRPr="003B1C76">
          <w:rPr>
            <w:rStyle w:val="16"/>
            <w:rFonts w:ascii="Book Antiqua" w:eastAsia=".AppleSystemUIFont Regular" w:hAnsi="Book Antiqua" w:cs=".AppleSystemUIFont Regular"/>
            <w:szCs w:val="18"/>
            <w:lang w:val="en-GB"/>
          </w:rPr>
          <w:t>https://doi.org/10.1016/j.sbspro.2013.08.698</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Kaján</w:t>
      </w:r>
      <w:proofErr w:type="spellEnd"/>
      <w:r w:rsidRPr="003B1C76">
        <w:rPr>
          <w:rFonts w:ascii="Book Antiqua" w:eastAsia=".AppleSystemUIFont Regular" w:hAnsi="Book Antiqua" w:cs=".AppleSystemUIFont Regular"/>
          <w:szCs w:val="18"/>
          <w:lang w:val="en-GB"/>
        </w:rPr>
        <w:t xml:space="preserve">, E., &amp; Saarinen, J. (2013). Tourism, climate change and adaptation: A review. </w:t>
      </w:r>
      <w:r w:rsidRPr="003B1C76">
        <w:rPr>
          <w:rFonts w:ascii="Book Antiqua" w:eastAsia=".AppleSystemUIFont Regular" w:hAnsi="Book Antiqua" w:cs=".AppleSystemUIFont Regular"/>
          <w:i/>
          <w:iCs/>
          <w:szCs w:val="18"/>
          <w:lang w:val="en-GB"/>
        </w:rPr>
        <w:t>Current Issues in Tourism</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16</w:t>
      </w:r>
      <w:r w:rsidRPr="003B1C76">
        <w:rPr>
          <w:rFonts w:ascii="Book Antiqua" w:eastAsia=".AppleSystemUIFont Regular" w:hAnsi="Book Antiqua" w:cs=".AppleSystemUIFont Regular"/>
          <w:szCs w:val="18"/>
          <w:lang w:val="en-GB"/>
        </w:rPr>
        <w:t xml:space="preserve">(2), 167–195. </w:t>
      </w:r>
      <w:hyperlink r:id="rId64" w:history="1">
        <w:r w:rsidRPr="003B1C76">
          <w:rPr>
            <w:rStyle w:val="16"/>
            <w:rFonts w:ascii="Book Antiqua" w:eastAsia=".AppleSystemUIFont Regular" w:hAnsi="Book Antiqua" w:cs=".AppleSystemUIFont Regular"/>
            <w:szCs w:val="18"/>
            <w:lang w:val="en-GB"/>
          </w:rPr>
          <w:t>https://doi.org/10.1080/13683500.2013.774323</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Khan, A., Bibi, S., </w:t>
      </w:r>
      <w:proofErr w:type="spellStart"/>
      <w:r w:rsidRPr="003B1C76">
        <w:rPr>
          <w:rFonts w:ascii="Book Antiqua" w:eastAsia=".AppleSystemUIFont Regular" w:hAnsi="Book Antiqua" w:cs=".AppleSystemUIFont Regular"/>
          <w:szCs w:val="18"/>
          <w:lang w:val="en-GB"/>
        </w:rPr>
        <w:t>Lyu</w:t>
      </w:r>
      <w:proofErr w:type="spellEnd"/>
      <w:r w:rsidRPr="003B1C76">
        <w:rPr>
          <w:rFonts w:ascii="Book Antiqua" w:eastAsia=".AppleSystemUIFont Regular" w:hAnsi="Book Antiqua" w:cs=".AppleSystemUIFont Regular"/>
          <w:szCs w:val="18"/>
          <w:lang w:val="en-GB"/>
        </w:rPr>
        <w:t xml:space="preserve">, J., Latif, A., &amp; Lorenzo, A. (2020). COVID-19 and sectoral employment trends: assessing resilience in the US leisure and hospitality industry. </w:t>
      </w:r>
      <w:r w:rsidRPr="003B1C76">
        <w:rPr>
          <w:rFonts w:ascii="Book Antiqua" w:eastAsia=".AppleSystemUIFont Regular" w:hAnsi="Book Antiqua" w:cs=".AppleSystemUIFont Regular"/>
          <w:i/>
          <w:szCs w:val="18"/>
          <w:lang w:val="en-GB"/>
        </w:rPr>
        <w:t>Current Issues in Tourism</w:t>
      </w:r>
      <w:r w:rsidRPr="003B1C76">
        <w:rPr>
          <w:rFonts w:ascii="Book Antiqua" w:eastAsia=".AppleSystemUIFont Regular" w:hAnsi="Book Antiqua" w:cs=".AppleSystemUIFont Regular"/>
          <w:szCs w:val="18"/>
          <w:lang w:val="en-GB"/>
        </w:rPr>
        <w:t xml:space="preserve">, 1–18. </w:t>
      </w:r>
      <w:hyperlink r:id="rId65" w:history="1">
        <w:r w:rsidRPr="003B1C76">
          <w:rPr>
            <w:rStyle w:val="16"/>
            <w:rFonts w:ascii="Book Antiqua" w:eastAsia=".AppleSystemUIFont Regular" w:hAnsi="Book Antiqua" w:cs=".AppleSystemUIFont Regular"/>
            <w:szCs w:val="18"/>
            <w:lang w:val="en-GB"/>
          </w:rPr>
          <w:t>https://doi.org/10.1080/13683500.2020.1850653</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Kimhi, S., &amp; </w:t>
      </w:r>
      <w:proofErr w:type="spellStart"/>
      <w:r w:rsidRPr="003B1C76">
        <w:rPr>
          <w:rFonts w:ascii="Book Antiqua" w:eastAsia=".AppleSystemUIFont Regular" w:hAnsi="Book Antiqua" w:cs=".AppleSystemUIFont Regular"/>
          <w:szCs w:val="18"/>
          <w:lang w:val="en-GB"/>
        </w:rPr>
        <w:t>Shomai</w:t>
      </w:r>
      <w:proofErr w:type="spellEnd"/>
      <w:r w:rsidRPr="003B1C76">
        <w:rPr>
          <w:rFonts w:ascii="Book Antiqua" w:eastAsia=".AppleSystemUIFont Regular" w:hAnsi="Book Antiqua" w:cs=".AppleSystemUIFont Regular"/>
          <w:szCs w:val="18"/>
          <w:lang w:val="en-GB"/>
        </w:rPr>
        <w:t xml:space="preserve">, M. (2004). Community resilience and the impact of stress: Adult response to Israel’s withdrawal from Lebanon. </w:t>
      </w:r>
      <w:r w:rsidRPr="003B1C76">
        <w:rPr>
          <w:rFonts w:ascii="Book Antiqua" w:eastAsia=".AppleSystemUIFont Regular" w:hAnsi="Book Antiqua" w:cs=".AppleSystemUIFont Regular"/>
          <w:i/>
          <w:szCs w:val="18"/>
          <w:lang w:val="en-GB"/>
        </w:rPr>
        <w:t>Journal of Community Psychology</w:t>
      </w:r>
      <w:r w:rsidRPr="003B1C76">
        <w:rPr>
          <w:rFonts w:ascii="Book Antiqua" w:eastAsia=".AppleSystemUIFont Regular" w:hAnsi="Book Antiqua" w:cs=".AppleSystemUIFont Regular"/>
          <w:szCs w:val="18"/>
          <w:lang w:val="en-GB"/>
        </w:rPr>
        <w:t xml:space="preserve">, 32(4), 439–451. </w:t>
      </w:r>
      <w:hyperlink r:id="rId66" w:history="1">
        <w:r w:rsidRPr="003B1C76">
          <w:rPr>
            <w:rStyle w:val="16"/>
            <w:rFonts w:ascii="Book Antiqua" w:eastAsia=".AppleSystemUIFont Regular" w:hAnsi="Book Antiqua" w:cs=".AppleSystemUIFont Regular"/>
            <w:szCs w:val="18"/>
            <w:lang w:val="en-GB"/>
          </w:rPr>
          <w:t>https://doi.org/10.1002/jcop.20012</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Kinnaird, V., &amp; Hall, D. (1996). Understanding tourism process: A gender-aware framework.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17</w:t>
      </w:r>
      <w:r w:rsidRPr="003B1C76">
        <w:rPr>
          <w:rFonts w:ascii="Book Antiqua" w:eastAsia=".AppleSystemUIFont Regular" w:hAnsi="Book Antiqua" w:cs=".AppleSystemUIFont Regular"/>
          <w:szCs w:val="18"/>
          <w:lang w:val="en-GB"/>
        </w:rPr>
        <w:t>(2), 95–102.</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Kirana, K. C., </w:t>
      </w:r>
      <w:proofErr w:type="spellStart"/>
      <w:r w:rsidRPr="003B1C76">
        <w:rPr>
          <w:rFonts w:ascii="Book Antiqua" w:eastAsia=".AppleSystemUIFont Regular" w:hAnsi="Book Antiqua" w:cs=".AppleSystemUIFont Regular"/>
          <w:szCs w:val="18"/>
          <w:lang w:val="en-GB"/>
        </w:rPr>
        <w:t>Kusrini</w:t>
      </w:r>
      <w:proofErr w:type="spellEnd"/>
      <w:r w:rsidRPr="003B1C76">
        <w:rPr>
          <w:rFonts w:ascii="Book Antiqua" w:eastAsia=".AppleSystemUIFont Regular" w:hAnsi="Book Antiqua" w:cs=".AppleSystemUIFont Regular"/>
          <w:szCs w:val="18"/>
          <w:lang w:val="en-GB"/>
        </w:rPr>
        <w:t xml:space="preserve">, K., &amp; </w:t>
      </w:r>
      <w:proofErr w:type="spellStart"/>
      <w:r w:rsidRPr="003B1C76">
        <w:rPr>
          <w:rFonts w:ascii="Book Antiqua" w:eastAsia=".AppleSystemUIFont Regular" w:hAnsi="Book Antiqua" w:cs=".AppleSystemUIFont Regular"/>
          <w:szCs w:val="18"/>
          <w:lang w:val="en-GB"/>
        </w:rPr>
        <w:t>Purwanto</w:t>
      </w:r>
      <w:proofErr w:type="spellEnd"/>
      <w:r w:rsidRPr="003B1C76">
        <w:rPr>
          <w:rFonts w:ascii="Book Antiqua" w:eastAsia=".AppleSystemUIFont Regular" w:hAnsi="Book Antiqua" w:cs=".AppleSystemUIFont Regular"/>
          <w:szCs w:val="18"/>
          <w:lang w:val="en-GB"/>
        </w:rPr>
        <w:t xml:space="preserve">, M. I. (2017). </w:t>
      </w:r>
      <w:proofErr w:type="spellStart"/>
      <w:r w:rsidRPr="003B1C76">
        <w:rPr>
          <w:rFonts w:ascii="Book Antiqua" w:eastAsia=".AppleSystemUIFont Regular" w:hAnsi="Book Antiqua" w:cs=".AppleSystemUIFont Regular"/>
          <w:szCs w:val="18"/>
          <w:lang w:val="en-GB"/>
        </w:rPr>
        <w:t>Analisis</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Faktor</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Intensi</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Kewirausahaan</w:t>
      </w:r>
      <w:proofErr w:type="spellEnd"/>
      <w:r w:rsidRPr="003B1C76">
        <w:rPr>
          <w:rFonts w:ascii="Book Antiqua" w:eastAsia=".AppleSystemUIFont Regular" w:hAnsi="Book Antiqua" w:cs=".AppleSystemUIFont Regular"/>
          <w:szCs w:val="18"/>
          <w:lang w:val="en-GB"/>
        </w:rPr>
        <w:t xml:space="preserve"> Tenaga </w:t>
      </w:r>
      <w:proofErr w:type="spellStart"/>
      <w:r w:rsidRPr="003B1C76">
        <w:rPr>
          <w:rFonts w:ascii="Book Antiqua" w:eastAsia=".AppleSystemUIFont Regular" w:hAnsi="Book Antiqua" w:cs=".AppleSystemUIFont Regular"/>
          <w:szCs w:val="18"/>
          <w:lang w:val="en-GB"/>
        </w:rPr>
        <w:t>Kerja</w:t>
      </w:r>
      <w:proofErr w:type="spellEnd"/>
      <w:r w:rsidRPr="003B1C76">
        <w:rPr>
          <w:rFonts w:ascii="Book Antiqua" w:eastAsia=".AppleSystemUIFont Regular" w:hAnsi="Book Antiqua" w:cs=".AppleSystemUIFont Regular"/>
          <w:szCs w:val="18"/>
          <w:lang w:val="en-GB"/>
        </w:rPr>
        <w:t xml:space="preserve"> Wanita </w:t>
      </w:r>
      <w:proofErr w:type="spellStart"/>
      <w:r w:rsidRPr="003B1C76">
        <w:rPr>
          <w:rFonts w:ascii="Book Antiqua" w:eastAsia=".AppleSystemUIFont Regular" w:hAnsi="Book Antiqua" w:cs=".AppleSystemUIFont Regular"/>
          <w:szCs w:val="18"/>
          <w:lang w:val="en-GB"/>
        </w:rPr>
        <w:t>Purna</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Gunung</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Kidul</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Untuk</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Kemandirian</w:t>
      </w:r>
      <w:proofErr w:type="spellEnd"/>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EKUITAS (</w:t>
      </w:r>
      <w:proofErr w:type="spellStart"/>
      <w:r w:rsidRPr="003B1C76">
        <w:rPr>
          <w:rFonts w:ascii="Book Antiqua" w:eastAsia=".AppleSystemUIFont Regular" w:hAnsi="Book Antiqua" w:cs=".AppleSystemUIFont Regular"/>
          <w:i/>
          <w:iCs/>
          <w:szCs w:val="18"/>
          <w:lang w:val="en-GB"/>
        </w:rPr>
        <w:t>Jurnal</w:t>
      </w:r>
      <w:proofErr w:type="spellEnd"/>
      <w:r w:rsidRPr="003B1C76">
        <w:rPr>
          <w:rFonts w:ascii="Book Antiqua" w:eastAsia=".AppleSystemUIFont Regular" w:hAnsi="Book Antiqua" w:cs=".AppleSystemUIFont Regular"/>
          <w:i/>
          <w:iCs/>
          <w:szCs w:val="18"/>
          <w:lang w:val="en-GB"/>
        </w:rPr>
        <w:t xml:space="preserve"> Ekonomi dan </w:t>
      </w:r>
      <w:proofErr w:type="spellStart"/>
      <w:r w:rsidRPr="003B1C76">
        <w:rPr>
          <w:rFonts w:ascii="Book Antiqua" w:eastAsia=".AppleSystemUIFont Regular" w:hAnsi="Book Antiqua" w:cs=".AppleSystemUIFont Regular"/>
          <w:i/>
          <w:iCs/>
          <w:szCs w:val="18"/>
          <w:lang w:val="en-GB"/>
        </w:rPr>
        <w:t>Keuangan</w:t>
      </w:r>
      <w:proofErr w:type="spellEnd"/>
      <w:r w:rsidRPr="003B1C76">
        <w:rPr>
          <w:rFonts w:ascii="Book Antiqua" w:eastAsia=".AppleSystemUIFont Regular" w:hAnsi="Book Antiqua" w:cs=".AppleSystemUIFont Regular"/>
          <w:i/>
          <w:iCs/>
          <w:szCs w:val="18"/>
          <w:lang w:val="en-GB"/>
        </w:rPr>
        <w:t>)</w:t>
      </w:r>
      <w:r w:rsidRPr="003B1C76">
        <w:rPr>
          <w:rFonts w:ascii="Book Antiqua" w:eastAsia=".AppleSystemUIFont Regular" w:hAnsi="Book Antiqua" w:cs=".AppleSystemUIFont Regular"/>
          <w:szCs w:val="18"/>
          <w:lang w:val="en-GB"/>
        </w:rPr>
        <w:t>, 1(3), 303-324.</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Kristiana, Y., </w:t>
      </w:r>
      <w:proofErr w:type="spellStart"/>
      <w:r w:rsidRPr="003B1C76">
        <w:rPr>
          <w:rFonts w:ascii="Book Antiqua" w:eastAsia=".AppleSystemUIFont Regular" w:hAnsi="Book Antiqua" w:cs=".AppleSystemUIFont Regular"/>
          <w:szCs w:val="18"/>
          <w:lang w:val="en-GB"/>
        </w:rPr>
        <w:t>Pramono</w:t>
      </w:r>
      <w:proofErr w:type="spellEnd"/>
      <w:r w:rsidRPr="003B1C76">
        <w:rPr>
          <w:rFonts w:ascii="Book Antiqua" w:eastAsia=".AppleSystemUIFont Regular" w:hAnsi="Book Antiqua" w:cs=".AppleSystemUIFont Regular"/>
          <w:szCs w:val="18"/>
          <w:lang w:val="en-GB"/>
        </w:rPr>
        <w:t xml:space="preserve">, R., &amp; Brian, R. (2021). Adaptation strategy of tourism industry stakeholders during the COVID-19 pandemic: A case study in Indonesia. </w:t>
      </w:r>
      <w:r w:rsidRPr="003B1C76">
        <w:rPr>
          <w:rFonts w:ascii="Book Antiqua" w:eastAsia=".AppleSystemUIFont Regular" w:hAnsi="Book Antiqua" w:cs=".AppleSystemUIFont Regular"/>
          <w:i/>
          <w:szCs w:val="18"/>
          <w:lang w:val="en-GB"/>
        </w:rPr>
        <w:t>Journal of Asian Finance, Economics and Business,</w:t>
      </w:r>
      <w:r w:rsidRPr="003B1C76">
        <w:rPr>
          <w:rFonts w:ascii="Book Antiqua" w:eastAsia=".AppleSystemUIFont Regular" w:hAnsi="Book Antiqua" w:cs=".AppleSystemUIFont Regular"/>
          <w:szCs w:val="18"/>
          <w:lang w:val="en-GB"/>
        </w:rPr>
        <w:t xml:space="preserve"> 8(4), 213–223. </w:t>
      </w:r>
      <w:hyperlink r:id="rId67" w:history="1">
        <w:r w:rsidRPr="003B1C76">
          <w:rPr>
            <w:rStyle w:val="16"/>
            <w:rFonts w:ascii="Book Antiqua" w:eastAsia=".AppleSystemUIFont Regular" w:hAnsi="Book Antiqua" w:cs=".AppleSystemUIFont Regular"/>
            <w:szCs w:val="18"/>
            <w:lang w:val="en-GB"/>
          </w:rPr>
          <w:t>https://doi.org/10.13106/JAFEB.2021.VOL8.NO4.0213</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Lane, B. (1994). What is rural tourism? In B. Bramwell and B. Lane (Eds.), </w:t>
      </w:r>
      <w:r w:rsidRPr="003B1C76">
        <w:rPr>
          <w:rFonts w:ascii="Book Antiqua" w:eastAsia=".AppleSystemUIFont Regular" w:hAnsi="Book Antiqua" w:cs=".AppleSystemUIFont Regular"/>
          <w:i/>
          <w:szCs w:val="18"/>
          <w:lang w:val="en-GB"/>
        </w:rPr>
        <w:t>Rural Tourism and   Sustainable   Rural   Development</w:t>
      </w:r>
      <w:r w:rsidRPr="003B1C76">
        <w:rPr>
          <w:rFonts w:ascii="Book Antiqua" w:eastAsia=".AppleSystemUIFont Regular" w:hAnsi="Book Antiqua" w:cs=".AppleSystemUIFont Regular"/>
          <w:szCs w:val="18"/>
          <w:lang w:val="en-GB"/>
        </w:rPr>
        <w:t>.   Clevedon:   Channel   View Publication.</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Larsen, R. K., </w:t>
      </w:r>
      <w:proofErr w:type="spellStart"/>
      <w:r w:rsidRPr="003B1C76">
        <w:rPr>
          <w:rFonts w:ascii="Book Antiqua" w:eastAsia=".AppleSystemUIFont Regular" w:hAnsi="Book Antiqua" w:cs=".AppleSystemUIFont Regular"/>
          <w:szCs w:val="18"/>
          <w:lang w:val="en-GB"/>
        </w:rPr>
        <w:t>Calgaro</w:t>
      </w:r>
      <w:proofErr w:type="spellEnd"/>
      <w:r w:rsidRPr="003B1C76">
        <w:rPr>
          <w:rFonts w:ascii="Book Antiqua" w:eastAsia=".AppleSystemUIFont Regular" w:hAnsi="Book Antiqua" w:cs=".AppleSystemUIFont Regular"/>
          <w:szCs w:val="18"/>
          <w:lang w:val="en-GB"/>
        </w:rPr>
        <w:t xml:space="preserve">, E., &amp; </w:t>
      </w:r>
      <w:proofErr w:type="spellStart"/>
      <w:r w:rsidRPr="003B1C76">
        <w:rPr>
          <w:rFonts w:ascii="Book Antiqua" w:eastAsia=".AppleSystemUIFont Regular" w:hAnsi="Book Antiqua" w:cs=".AppleSystemUIFont Regular"/>
          <w:szCs w:val="18"/>
          <w:lang w:val="en-GB"/>
        </w:rPr>
        <w:t>Thomalla</w:t>
      </w:r>
      <w:proofErr w:type="spellEnd"/>
      <w:r w:rsidRPr="003B1C76">
        <w:rPr>
          <w:rFonts w:ascii="Book Antiqua" w:eastAsia=".AppleSystemUIFont Regular" w:hAnsi="Book Antiqua" w:cs=".AppleSystemUIFont Regular"/>
          <w:szCs w:val="18"/>
          <w:lang w:val="en-GB"/>
        </w:rPr>
        <w:t xml:space="preserve">, F. (2011). Governing resilience building in Thailand’s tourism-dependent coastal communities: Conceptualising stakeholder agency in social-ecological systems. </w:t>
      </w:r>
      <w:r w:rsidRPr="003B1C76">
        <w:rPr>
          <w:rFonts w:ascii="Book Antiqua" w:eastAsia=".AppleSystemUIFont Regular" w:hAnsi="Book Antiqua" w:cs=".AppleSystemUIFont Regular"/>
          <w:i/>
          <w:szCs w:val="18"/>
          <w:lang w:val="en-GB"/>
        </w:rPr>
        <w:t>Global Environmental Change</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21</w:t>
      </w:r>
      <w:r w:rsidRPr="003B1C76">
        <w:rPr>
          <w:rFonts w:ascii="Book Antiqua" w:eastAsia=".AppleSystemUIFont Regular" w:hAnsi="Book Antiqua" w:cs=".AppleSystemUIFont Regular"/>
          <w:szCs w:val="18"/>
          <w:lang w:val="en-GB"/>
        </w:rPr>
        <w:t xml:space="preserve">(2), 481-491. </w:t>
      </w:r>
      <w:hyperlink r:id="rId68" w:history="1">
        <w:r w:rsidRPr="003B1C76">
          <w:rPr>
            <w:rStyle w:val="16"/>
            <w:rFonts w:ascii="Book Antiqua" w:eastAsia=".AppleSystemUIFont Regular" w:hAnsi="Book Antiqua" w:cs=".AppleSystemUIFont Regular"/>
            <w:szCs w:val="18"/>
            <w:lang w:val="en-GB"/>
          </w:rPr>
          <w:t>https://doi.org/10.1016/j.gloenvcha.2010.12.009</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Lasso, A., &amp; </w:t>
      </w:r>
      <w:proofErr w:type="spellStart"/>
      <w:r w:rsidRPr="003B1C76">
        <w:rPr>
          <w:rFonts w:ascii="Book Antiqua" w:eastAsia=".AppleSystemUIFont Regular" w:hAnsi="Book Antiqua" w:cs=".AppleSystemUIFont Regular"/>
          <w:szCs w:val="18"/>
          <w:lang w:val="en-GB"/>
        </w:rPr>
        <w:t>Dahles</w:t>
      </w:r>
      <w:proofErr w:type="spellEnd"/>
      <w:r w:rsidRPr="003B1C76">
        <w:rPr>
          <w:rFonts w:ascii="Book Antiqua" w:eastAsia=".AppleSystemUIFont Regular" w:hAnsi="Book Antiqua" w:cs=".AppleSystemUIFont Regular"/>
          <w:szCs w:val="18"/>
          <w:lang w:val="en-GB"/>
        </w:rPr>
        <w:t xml:space="preserve">, H. (2020). Fishermen into tour boat operators: Tourism development in Labuan Bajo, Indonesia. In </w:t>
      </w:r>
      <w:r w:rsidRPr="003B1C76">
        <w:rPr>
          <w:rFonts w:ascii="Book Antiqua" w:eastAsia=".AppleSystemUIFont Regular" w:hAnsi="Book Antiqua" w:cs=".AppleSystemUIFont Regular"/>
          <w:i/>
          <w:szCs w:val="18"/>
          <w:lang w:val="en-GB"/>
        </w:rPr>
        <w:t>Tourism and Development in Southeast Asia</w:t>
      </w:r>
      <w:r w:rsidRPr="003B1C76">
        <w:rPr>
          <w:rFonts w:ascii="Book Antiqua" w:eastAsia=".AppleSystemUIFont Regular" w:hAnsi="Book Antiqua" w:cs=".AppleSystemUIFont Regular"/>
          <w:szCs w:val="18"/>
          <w:lang w:val="en-GB"/>
        </w:rPr>
        <w:t xml:space="preserve"> (pp. 133-146). Routledge.</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Lew, A. A. (2014). Scale, change and resilience in community tourism planning. </w:t>
      </w:r>
      <w:r w:rsidRPr="003B1C76">
        <w:rPr>
          <w:rFonts w:ascii="Book Antiqua" w:eastAsia=".AppleSystemUIFont Regular" w:hAnsi="Book Antiqua" w:cs=".AppleSystemUIFont Regular"/>
          <w:i/>
          <w:szCs w:val="18"/>
          <w:lang w:val="en-GB"/>
        </w:rPr>
        <w:t>Tourism Geographies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16</w:t>
      </w:r>
      <w:r w:rsidRPr="003B1C76">
        <w:rPr>
          <w:rFonts w:ascii="Book Antiqua" w:eastAsia=".AppleSystemUIFont Regular" w:hAnsi="Book Antiqua" w:cs=".AppleSystemUIFont Regular"/>
          <w:szCs w:val="18"/>
          <w:lang w:val="en-GB"/>
        </w:rPr>
        <w:t xml:space="preserve">(1), 14–22. </w:t>
      </w:r>
      <w:hyperlink r:id="rId69" w:history="1">
        <w:r w:rsidRPr="003B1C76">
          <w:rPr>
            <w:rStyle w:val="16"/>
            <w:rFonts w:ascii="Book Antiqua" w:eastAsia=".AppleSystemUIFont Regular" w:hAnsi="Book Antiqua" w:cs=".AppleSystemUIFont Regular"/>
            <w:szCs w:val="18"/>
            <w:lang w:val="en-GB"/>
          </w:rPr>
          <w:t>https://doi.org/10.1080/14616688.2013.864325</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Lew, A. A., Cheer, J. M., Haywood, M., </w:t>
      </w:r>
      <w:proofErr w:type="spellStart"/>
      <w:r w:rsidRPr="003B1C76">
        <w:rPr>
          <w:rFonts w:ascii="Book Antiqua" w:eastAsia=".AppleSystemUIFont Regular" w:hAnsi="Book Antiqua" w:cs=".AppleSystemUIFont Regular"/>
          <w:szCs w:val="18"/>
          <w:lang w:val="en-GB"/>
        </w:rPr>
        <w:t>Brouder</w:t>
      </w:r>
      <w:proofErr w:type="spellEnd"/>
      <w:r w:rsidRPr="003B1C76">
        <w:rPr>
          <w:rFonts w:ascii="Book Antiqua" w:eastAsia=".AppleSystemUIFont Regular" w:hAnsi="Book Antiqua" w:cs=".AppleSystemUIFont Regular"/>
          <w:szCs w:val="18"/>
          <w:lang w:val="en-GB"/>
        </w:rPr>
        <w:t xml:space="preserve">, P., &amp; Salazar, N. B. (2020). Visions of travel and tourism after the global COVID-19 transformation of 2020. </w:t>
      </w:r>
      <w:r w:rsidRPr="003B1C76">
        <w:rPr>
          <w:rFonts w:ascii="Book Antiqua" w:eastAsia=".AppleSystemUIFont Regular" w:hAnsi="Book Antiqua" w:cs=".AppleSystemUIFont Regular"/>
          <w:i/>
          <w:szCs w:val="18"/>
          <w:lang w:val="en-GB"/>
        </w:rPr>
        <w:t>Tourism Geographies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22</w:t>
      </w:r>
      <w:r w:rsidRPr="003B1C76">
        <w:rPr>
          <w:rFonts w:ascii="Book Antiqua" w:eastAsia=".AppleSystemUIFont Regular" w:hAnsi="Book Antiqua" w:cs=".AppleSystemUIFont Regular"/>
          <w:szCs w:val="18"/>
          <w:lang w:val="en-GB"/>
        </w:rPr>
        <w:t xml:space="preserve">(3), 455–466. </w:t>
      </w:r>
      <w:hyperlink r:id="rId70" w:history="1">
        <w:r w:rsidRPr="003B1C76">
          <w:rPr>
            <w:rStyle w:val="16"/>
            <w:rFonts w:ascii="Book Antiqua" w:eastAsia=".AppleSystemUIFont Regular" w:hAnsi="Book Antiqua" w:cs=".AppleSystemUIFont Regular"/>
            <w:szCs w:val="18"/>
            <w:lang w:val="en-GB"/>
          </w:rPr>
          <w:t>https://doi.org/10.1080/14616688.2020.1770326</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Marshall, N. A., Marshall, P. A., Abdulla, A., </w:t>
      </w:r>
      <w:proofErr w:type="spellStart"/>
      <w:r w:rsidRPr="003B1C76">
        <w:rPr>
          <w:rFonts w:ascii="Book Antiqua" w:eastAsia=".AppleSystemUIFont Regular" w:hAnsi="Book Antiqua" w:cs=".AppleSystemUIFont Regular"/>
          <w:szCs w:val="18"/>
          <w:lang w:val="en-GB"/>
        </w:rPr>
        <w:t>Rouphael</w:t>
      </w:r>
      <w:proofErr w:type="spellEnd"/>
      <w:r w:rsidRPr="003B1C76">
        <w:rPr>
          <w:rFonts w:ascii="Book Antiqua" w:eastAsia=".AppleSystemUIFont Regular" w:hAnsi="Book Antiqua" w:cs=".AppleSystemUIFont Regular"/>
          <w:szCs w:val="18"/>
          <w:lang w:val="en-GB"/>
        </w:rPr>
        <w:t xml:space="preserve">, T., &amp; Ali, A. (2011). Preparing for climate change: Recognising its early impacts through the perceptions of dive tourists and dive operators in the Egyptian red sea. </w:t>
      </w:r>
      <w:r w:rsidRPr="003B1C76">
        <w:rPr>
          <w:rFonts w:ascii="Book Antiqua" w:eastAsia=".AppleSystemUIFont Regular" w:hAnsi="Book Antiqua" w:cs=".AppleSystemUIFont Regular"/>
          <w:i/>
          <w:iCs/>
          <w:szCs w:val="18"/>
          <w:lang w:val="en-GB"/>
        </w:rPr>
        <w:t>Current Issues in Tourism</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lastRenderedPageBreak/>
        <w:t>14</w:t>
      </w:r>
      <w:r w:rsidRPr="003B1C76">
        <w:rPr>
          <w:rFonts w:ascii="Book Antiqua" w:eastAsia=".AppleSystemUIFont Regular" w:hAnsi="Book Antiqua" w:cs=".AppleSystemUIFont Regular"/>
          <w:szCs w:val="18"/>
          <w:lang w:val="en-GB"/>
        </w:rPr>
        <w:t xml:space="preserve">(6), 507–518. </w:t>
      </w:r>
      <w:hyperlink r:id="rId71" w:history="1">
        <w:r w:rsidRPr="003B1C76">
          <w:rPr>
            <w:rStyle w:val="16"/>
            <w:rFonts w:ascii="Book Antiqua" w:eastAsia=".AppleSystemUIFont Regular" w:hAnsi="Book Antiqua" w:cs=".AppleSystemUIFont Regular"/>
            <w:szCs w:val="18"/>
            <w:lang w:val="en-GB"/>
          </w:rPr>
          <w:t>https://doi.org/10.1080/13683500.2010.512075</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Merriam, S. B., &amp; </w:t>
      </w:r>
      <w:proofErr w:type="spellStart"/>
      <w:r w:rsidRPr="003B1C76">
        <w:rPr>
          <w:rFonts w:ascii="Book Antiqua" w:eastAsia=".AppleSystemUIFont Regular" w:hAnsi="Book Antiqua" w:cs=".AppleSystemUIFont Regular"/>
          <w:szCs w:val="18"/>
          <w:lang w:val="en-GB"/>
        </w:rPr>
        <w:t>Tisdell</w:t>
      </w:r>
      <w:proofErr w:type="spellEnd"/>
      <w:r w:rsidRPr="003B1C76">
        <w:rPr>
          <w:rFonts w:ascii="Book Antiqua" w:eastAsia=".AppleSystemUIFont Regular" w:hAnsi="Book Antiqua" w:cs=".AppleSystemUIFont Regular"/>
          <w:szCs w:val="18"/>
          <w:lang w:val="en-GB"/>
        </w:rPr>
        <w:t xml:space="preserve">, E. J. (2016). </w:t>
      </w:r>
      <w:r w:rsidRPr="003B1C76">
        <w:rPr>
          <w:rFonts w:ascii="Book Antiqua" w:eastAsia=".AppleSystemUIFont Regular" w:hAnsi="Book Antiqua" w:cs=".AppleSystemUIFont Regular"/>
          <w:i/>
          <w:szCs w:val="18"/>
          <w:lang w:val="en-GB"/>
        </w:rPr>
        <w:t>Qualitative Research: A Guide to Design an Implementation</w:t>
      </w:r>
      <w:r w:rsidRPr="003B1C76">
        <w:rPr>
          <w:rFonts w:ascii="Book Antiqua" w:eastAsia=".AppleSystemUIFont Regular" w:hAnsi="Book Antiqua" w:cs=".AppleSystemUIFont Regular"/>
          <w:szCs w:val="18"/>
          <w:lang w:val="en-GB"/>
        </w:rPr>
        <w:t xml:space="preserve"> (4th edition). Wiley &amp; Sons.</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Mulder, N. (2020). The impact of the COVID-19 pandemic on the tourism sector in Latin America and the Caribbean, and options for a sustainable and resilient recovery. In </w:t>
      </w:r>
      <w:r w:rsidRPr="003B1C76">
        <w:rPr>
          <w:rFonts w:ascii="Book Antiqua" w:eastAsia=".AppleSystemUIFont Regular" w:hAnsi="Book Antiqua" w:cs=".AppleSystemUIFont Regular"/>
          <w:i/>
          <w:szCs w:val="18"/>
          <w:lang w:val="en-GB"/>
        </w:rPr>
        <w:t>United Nations Publication</w:t>
      </w:r>
      <w:r w:rsidRPr="003B1C76">
        <w:rPr>
          <w:rFonts w:ascii="Book Antiqua" w:eastAsia=".AppleSystemUIFont Regular" w:hAnsi="Book Antiqua" w:cs=".AppleSystemUIFont Regular"/>
          <w:szCs w:val="18"/>
          <w:lang w:val="en-GB"/>
        </w:rPr>
        <w:t xml:space="preserve"> (Vol. 157). </w:t>
      </w:r>
      <w:hyperlink r:id="rId72" w:history="1">
        <w:r w:rsidRPr="003B1C76">
          <w:rPr>
            <w:rStyle w:val="16"/>
            <w:rFonts w:ascii="Book Antiqua" w:eastAsia=".AppleSystemUIFont Regular" w:hAnsi="Book Antiqua" w:cs=".AppleSystemUIFont Regular"/>
            <w:szCs w:val="18"/>
            <w:lang w:val="en-GB"/>
          </w:rPr>
          <w:t>https://repositorio.cepal.org/handle/11362/46502</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Muñoz-</w:t>
      </w:r>
      <w:proofErr w:type="spellStart"/>
      <w:r w:rsidRPr="003B1C76">
        <w:rPr>
          <w:rFonts w:ascii="Book Antiqua" w:eastAsia=".AppleSystemUIFont Regular" w:hAnsi="Book Antiqua" w:cs=".AppleSystemUIFont Regular"/>
          <w:szCs w:val="18"/>
          <w:lang w:val="en-GB"/>
        </w:rPr>
        <w:t>Bullón</w:t>
      </w:r>
      <w:proofErr w:type="spellEnd"/>
      <w:r w:rsidRPr="003B1C76">
        <w:rPr>
          <w:rFonts w:ascii="Book Antiqua" w:eastAsia=".AppleSystemUIFont Regular" w:hAnsi="Book Antiqua" w:cs=".AppleSystemUIFont Regular"/>
          <w:szCs w:val="18"/>
          <w:lang w:val="en-GB"/>
        </w:rPr>
        <w:t xml:space="preserve">, F. (2009). The gap between male and female </w:t>
      </w:r>
      <w:proofErr w:type="gramStart"/>
      <w:r w:rsidRPr="003B1C76">
        <w:rPr>
          <w:rFonts w:ascii="Book Antiqua" w:eastAsia=".AppleSystemUIFont Regular" w:hAnsi="Book Antiqua" w:cs=".AppleSystemUIFont Regular"/>
          <w:szCs w:val="18"/>
          <w:lang w:val="en-GB"/>
        </w:rPr>
        <w:t>pay</w:t>
      </w:r>
      <w:proofErr w:type="gramEnd"/>
      <w:r w:rsidRPr="003B1C76">
        <w:rPr>
          <w:rFonts w:ascii="Book Antiqua" w:eastAsia=".AppleSystemUIFont Regular" w:hAnsi="Book Antiqua" w:cs=".AppleSystemUIFont Regular"/>
          <w:szCs w:val="18"/>
          <w:lang w:val="en-GB"/>
        </w:rPr>
        <w:t xml:space="preserve"> in the Spanish tourism industry. </w:t>
      </w:r>
      <w:r w:rsidRPr="003B1C76">
        <w:rPr>
          <w:rFonts w:ascii="Book Antiqua" w:eastAsia=".AppleSystemUIFont Regular" w:hAnsi="Book Antiqua" w:cs=".AppleSystemUIFont Regular"/>
          <w:i/>
          <w:szCs w:val="18"/>
          <w:lang w:val="en-GB"/>
        </w:rPr>
        <w:t>Tourism Management</w:t>
      </w:r>
      <w:r w:rsidRPr="003B1C76">
        <w:rPr>
          <w:rFonts w:ascii="Book Antiqua" w:eastAsia=".AppleSystemUIFont Regular" w:hAnsi="Book Antiqua" w:cs=".AppleSystemUIFont Regular"/>
          <w:szCs w:val="18"/>
          <w:lang w:val="en-GB"/>
        </w:rPr>
        <w:t xml:space="preserve">, 30(5), 638–649. </w:t>
      </w:r>
      <w:hyperlink r:id="rId73" w:history="1">
        <w:r w:rsidRPr="003B1C76">
          <w:rPr>
            <w:rStyle w:val="16"/>
            <w:rFonts w:ascii="Book Antiqua" w:eastAsia=".AppleSystemUIFont Regular" w:hAnsi="Book Antiqua" w:cs=".AppleSystemUIFont Regular"/>
            <w:szCs w:val="18"/>
            <w:lang w:val="en-GB"/>
          </w:rPr>
          <w:t>https://doi.org/10.1016/j.tourman.2008.11.007</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Niewiadomski</w:t>
      </w:r>
      <w:proofErr w:type="spellEnd"/>
      <w:r w:rsidRPr="003B1C76">
        <w:rPr>
          <w:rFonts w:ascii="Book Antiqua" w:eastAsia=".AppleSystemUIFont Regular" w:hAnsi="Book Antiqua" w:cs=".AppleSystemUIFont Regular"/>
          <w:szCs w:val="18"/>
          <w:lang w:val="en-GB"/>
        </w:rPr>
        <w:t xml:space="preserve">, P. (2020). COVID-19: from temporary de-globalisation to a re-discovery of tourism? </w:t>
      </w:r>
      <w:r w:rsidRPr="003B1C76">
        <w:rPr>
          <w:rFonts w:ascii="Book Antiqua" w:eastAsia=".AppleSystemUIFont Regular" w:hAnsi="Book Antiqua" w:cs=".AppleSystemUIFont Regular"/>
          <w:i/>
          <w:szCs w:val="18"/>
          <w:lang w:val="en-GB"/>
        </w:rPr>
        <w:t>Tourism Geographies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szCs w:val="18"/>
          <w:lang w:val="en-GB"/>
        </w:rPr>
        <w:t>22</w:t>
      </w:r>
      <w:r w:rsidRPr="003B1C76">
        <w:rPr>
          <w:rFonts w:ascii="Book Antiqua" w:eastAsia=".AppleSystemUIFont Regular" w:hAnsi="Book Antiqua" w:cs=".AppleSystemUIFont Regular"/>
          <w:szCs w:val="18"/>
          <w:lang w:val="en-GB"/>
        </w:rPr>
        <w:t xml:space="preserve">(3), 651–656. </w:t>
      </w:r>
      <w:hyperlink r:id="rId74" w:history="1">
        <w:r w:rsidRPr="003B1C76">
          <w:rPr>
            <w:rStyle w:val="16"/>
            <w:rFonts w:ascii="Book Antiqua" w:eastAsia=".AppleSystemUIFont Regular" w:hAnsi="Book Antiqua" w:cs=".AppleSystemUIFont Regular"/>
            <w:szCs w:val="18"/>
            <w:lang w:val="en-GB"/>
          </w:rPr>
          <w:t>https://doi.org/10.1080/14616688.2020.1757749</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Noorashid</w:t>
      </w:r>
      <w:proofErr w:type="spellEnd"/>
      <w:r w:rsidRPr="003B1C76">
        <w:rPr>
          <w:rFonts w:ascii="Book Antiqua" w:eastAsia=".AppleSystemUIFont Regular" w:hAnsi="Book Antiqua" w:cs=".AppleSystemUIFont Regular"/>
          <w:szCs w:val="18"/>
          <w:lang w:val="en-GB"/>
        </w:rPr>
        <w:t xml:space="preserve">, N., &amp; Chin, W. L. (2021). Coping with COVID-19: The resilience and transformation of community-based tourism in Brunei Darussalam. </w:t>
      </w:r>
      <w:r w:rsidRPr="003B1C76">
        <w:rPr>
          <w:rFonts w:ascii="Book Antiqua" w:eastAsia=".AppleSystemUIFont Regular" w:hAnsi="Book Antiqua" w:cs=".AppleSystemUIFont Regular"/>
          <w:i/>
          <w:szCs w:val="18"/>
          <w:lang w:val="en-GB"/>
        </w:rPr>
        <w:t>Sustainability</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13</w:t>
      </w:r>
      <w:r w:rsidRPr="003B1C76">
        <w:rPr>
          <w:rFonts w:ascii="Book Antiqua" w:eastAsia=".AppleSystemUIFont Regular" w:hAnsi="Book Antiqua" w:cs=".AppleSystemUIFont Regular"/>
          <w:szCs w:val="18"/>
          <w:lang w:val="en-GB"/>
        </w:rPr>
        <w:t>(8618), 1–28.</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Norris, F. H., Stevens, S. P., </w:t>
      </w:r>
      <w:proofErr w:type="spellStart"/>
      <w:r w:rsidRPr="003B1C76">
        <w:rPr>
          <w:rFonts w:ascii="Book Antiqua" w:eastAsia=".AppleSystemUIFont Regular" w:hAnsi="Book Antiqua" w:cs=".AppleSystemUIFont Regular"/>
          <w:szCs w:val="18"/>
          <w:lang w:val="en-GB"/>
        </w:rPr>
        <w:t>Pfefferbaum</w:t>
      </w:r>
      <w:proofErr w:type="spellEnd"/>
      <w:r w:rsidRPr="003B1C76">
        <w:rPr>
          <w:rFonts w:ascii="Book Antiqua" w:eastAsia=".AppleSystemUIFont Regular" w:hAnsi="Book Antiqua" w:cs=".AppleSystemUIFont Regular"/>
          <w:szCs w:val="18"/>
          <w:lang w:val="en-GB"/>
        </w:rPr>
        <w:t xml:space="preserve">, B., Wyche, K. F., &amp; </w:t>
      </w:r>
      <w:proofErr w:type="spellStart"/>
      <w:r w:rsidRPr="003B1C76">
        <w:rPr>
          <w:rFonts w:ascii="Book Antiqua" w:eastAsia=".AppleSystemUIFont Regular" w:hAnsi="Book Antiqua" w:cs=".AppleSystemUIFont Regular"/>
          <w:szCs w:val="18"/>
          <w:lang w:val="en-GB"/>
        </w:rPr>
        <w:t>Pfefferbaum</w:t>
      </w:r>
      <w:proofErr w:type="spellEnd"/>
      <w:r w:rsidRPr="003B1C76">
        <w:rPr>
          <w:rFonts w:ascii="Book Antiqua" w:eastAsia=".AppleSystemUIFont Regular" w:hAnsi="Book Antiqua" w:cs=".AppleSystemUIFont Regular"/>
          <w:szCs w:val="18"/>
          <w:lang w:val="en-GB"/>
        </w:rPr>
        <w:t xml:space="preserve">, R. L. (2008). Community resilience as a metaphor, theory, set of capacities, and strategy for disaster readiness. </w:t>
      </w:r>
      <w:r w:rsidRPr="003B1C76">
        <w:rPr>
          <w:rFonts w:ascii="Book Antiqua" w:eastAsia=".AppleSystemUIFont Regular" w:hAnsi="Book Antiqua" w:cs=".AppleSystemUIFont Regular"/>
          <w:i/>
          <w:szCs w:val="18"/>
          <w:lang w:val="en-GB"/>
        </w:rPr>
        <w:t>American Journal of Community Psychology</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41</w:t>
      </w:r>
      <w:r w:rsidRPr="003B1C76">
        <w:rPr>
          <w:rFonts w:ascii="Book Antiqua" w:eastAsia=".AppleSystemUIFont Regular" w:hAnsi="Book Antiqua" w:cs=".AppleSystemUIFont Regular"/>
          <w:szCs w:val="18"/>
          <w:lang w:val="en-GB"/>
        </w:rPr>
        <w:t xml:space="preserve">(1–2), 127–150. </w:t>
      </w:r>
      <w:hyperlink r:id="rId75" w:history="1">
        <w:r w:rsidRPr="003B1C76">
          <w:rPr>
            <w:rStyle w:val="16"/>
            <w:rFonts w:ascii="Book Antiqua" w:eastAsia=".AppleSystemUIFont Regular" w:hAnsi="Book Antiqua" w:cs=".AppleSystemUIFont Regular"/>
            <w:szCs w:val="18"/>
            <w:lang w:val="en-GB"/>
          </w:rPr>
          <w:t>https://doi.org/10.1007/s10464-007-9156-6</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Ntounis</w:t>
      </w:r>
      <w:proofErr w:type="spellEnd"/>
      <w:r w:rsidRPr="003B1C76">
        <w:rPr>
          <w:rFonts w:ascii="Book Antiqua" w:eastAsia=".AppleSystemUIFont Regular" w:hAnsi="Book Antiqua" w:cs=".AppleSystemUIFont Regular"/>
          <w:szCs w:val="18"/>
          <w:lang w:val="en-GB"/>
        </w:rPr>
        <w:t xml:space="preserve">, N., Parker, C., Skinner, H., Steadman, C., </w:t>
      </w:r>
      <w:proofErr w:type="spellStart"/>
      <w:r w:rsidRPr="003B1C76">
        <w:rPr>
          <w:rFonts w:ascii="Book Antiqua" w:eastAsia=".AppleSystemUIFont Regular" w:hAnsi="Book Antiqua" w:cs=".AppleSystemUIFont Regular"/>
          <w:szCs w:val="18"/>
          <w:lang w:val="en-GB"/>
        </w:rPr>
        <w:t>Ntounis</w:t>
      </w:r>
      <w:proofErr w:type="spellEnd"/>
      <w:r w:rsidRPr="003B1C76">
        <w:rPr>
          <w:rFonts w:ascii="Book Antiqua" w:eastAsia=".AppleSystemUIFont Regular" w:hAnsi="Book Antiqua" w:cs=".AppleSystemUIFont Regular"/>
          <w:szCs w:val="18"/>
          <w:lang w:val="en-GB"/>
        </w:rPr>
        <w:t xml:space="preserve">, N., Parker, C., Skinner, H., Steadman, C., Parker, C., Skinner, H., &amp; Steadman, C. (2021). Tourism and hospitality industry resilience during the COVID-19 pandemic: Evidence from England. </w:t>
      </w:r>
      <w:r w:rsidRPr="003B1C76">
        <w:rPr>
          <w:rFonts w:ascii="Book Antiqua" w:eastAsia=".AppleSystemUIFont Regular" w:hAnsi="Book Antiqua" w:cs=".AppleSystemUIFont Regular"/>
          <w:i/>
          <w:szCs w:val="18"/>
          <w:lang w:val="en-GB"/>
        </w:rPr>
        <w:t>Current Issues in Tourism</w:t>
      </w:r>
      <w:r w:rsidRPr="003B1C76">
        <w:rPr>
          <w:rFonts w:ascii="Book Antiqua" w:eastAsia=".AppleSystemUIFont Regular" w:hAnsi="Book Antiqua" w:cs=".AppleSystemUIFont Regular"/>
          <w:szCs w:val="18"/>
          <w:lang w:val="en-GB"/>
        </w:rPr>
        <w:t xml:space="preserve">, 1–14. </w:t>
      </w:r>
      <w:hyperlink r:id="rId76" w:history="1">
        <w:r w:rsidRPr="003B1C76">
          <w:rPr>
            <w:rStyle w:val="16"/>
            <w:rFonts w:ascii="Book Antiqua" w:eastAsia=".AppleSystemUIFont Regular" w:hAnsi="Book Antiqua" w:cs=".AppleSystemUIFont Regular"/>
            <w:szCs w:val="18"/>
            <w:lang w:val="en-GB"/>
          </w:rPr>
          <w:t>https://doi.org/10.1080/13683500.2021.1883556</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Ou</w:t>
      </w:r>
      <w:proofErr w:type="spellEnd"/>
      <w:r w:rsidRPr="003B1C76">
        <w:rPr>
          <w:rFonts w:ascii="Book Antiqua" w:eastAsia=".AppleSystemUIFont Regular" w:hAnsi="Book Antiqua" w:cs=".AppleSystemUIFont Regular"/>
          <w:szCs w:val="18"/>
          <w:lang w:val="en-GB"/>
        </w:rPr>
        <w:t xml:space="preserve">, J., &amp; Wong, I. K. A. (2020). Strategic crisis response through changing message frames: a case of airline corporations. </w:t>
      </w:r>
      <w:r w:rsidRPr="003B1C76">
        <w:rPr>
          <w:rFonts w:ascii="Book Antiqua" w:eastAsia=".AppleSystemUIFont Regular" w:hAnsi="Book Antiqua" w:cs=".AppleSystemUIFont Regular"/>
          <w:i/>
          <w:szCs w:val="18"/>
          <w:lang w:val="en-GB"/>
        </w:rPr>
        <w:t>Current Issues in Tourism</w:t>
      </w:r>
      <w:r w:rsidRPr="003B1C76">
        <w:rPr>
          <w:rFonts w:ascii="Book Antiqua" w:eastAsia=".AppleSystemUIFont Regular" w:hAnsi="Book Antiqua" w:cs=".AppleSystemUIFont Regular"/>
          <w:szCs w:val="18"/>
          <w:lang w:val="en-GB"/>
        </w:rPr>
        <w:t xml:space="preserve">, 1–15. </w:t>
      </w:r>
      <w:hyperlink r:id="rId77" w:history="1">
        <w:r w:rsidRPr="003B1C76">
          <w:rPr>
            <w:rStyle w:val="16"/>
            <w:rFonts w:ascii="Book Antiqua" w:eastAsia=".AppleSystemUIFont Regular" w:hAnsi="Book Antiqua" w:cs=".AppleSystemUIFont Regular"/>
            <w:szCs w:val="18"/>
            <w:lang w:val="en-GB"/>
          </w:rPr>
          <w:t>https://doi.org/10.1080/13683500.2020.1849051</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Pan, T., Shu, F., </w:t>
      </w:r>
      <w:proofErr w:type="spellStart"/>
      <w:r w:rsidRPr="003B1C76">
        <w:rPr>
          <w:rFonts w:ascii="Book Antiqua" w:eastAsia=".AppleSystemUIFont Regular" w:hAnsi="Book Antiqua" w:cs=".AppleSystemUIFont Regular"/>
          <w:szCs w:val="18"/>
          <w:lang w:val="en-GB"/>
        </w:rPr>
        <w:t>Kitterlin</w:t>
      </w:r>
      <w:proofErr w:type="spellEnd"/>
      <w:r w:rsidRPr="003B1C76">
        <w:rPr>
          <w:rFonts w:ascii="Book Antiqua" w:eastAsia=".AppleSystemUIFont Regular" w:hAnsi="Book Antiqua" w:cs=".AppleSystemUIFont Regular"/>
          <w:szCs w:val="18"/>
          <w:lang w:val="en-GB"/>
        </w:rPr>
        <w:t xml:space="preserve">-Lynch, M., &amp; Beckman, E. (2021). Perceptions of cruise travel during the COVID-19 pandemic: Market recovery strategies for cruise businesses in North America. </w:t>
      </w:r>
      <w:r w:rsidRPr="003B1C76">
        <w:rPr>
          <w:rFonts w:ascii="Book Antiqua" w:eastAsia=".AppleSystemUIFont Regular" w:hAnsi="Book Antiqua" w:cs=".AppleSystemUIFont Regular"/>
          <w:i/>
          <w:szCs w:val="18"/>
          <w:lang w:val="en-GB"/>
        </w:rPr>
        <w:t>Tourism Management</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85</w:t>
      </w:r>
      <w:r w:rsidRPr="003B1C76">
        <w:rPr>
          <w:rFonts w:ascii="Book Antiqua" w:eastAsia=".AppleSystemUIFont Regular" w:hAnsi="Book Antiqua" w:cs=".AppleSystemUIFont Regular"/>
          <w:szCs w:val="18"/>
          <w:lang w:val="en-GB"/>
        </w:rPr>
        <w:t xml:space="preserve">, 104275. </w:t>
      </w:r>
      <w:hyperlink r:id="rId78" w:history="1">
        <w:r w:rsidRPr="003B1C76">
          <w:rPr>
            <w:rStyle w:val="16"/>
            <w:rFonts w:ascii="Book Antiqua" w:eastAsia=".AppleSystemUIFont Regular" w:hAnsi="Book Antiqua" w:cs=".AppleSystemUIFont Regular"/>
            <w:szCs w:val="18"/>
            <w:lang w:val="en-GB"/>
          </w:rPr>
          <w:t>https://doi.org/10.1016/j.tourman.2020.104275</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Pedroza-Gutiérrez, C., Vidal-Hernández, L., &amp; Rivera-Arriaga, E. (2021). Adaptive governance and coping strategies in the Yucatan Peninsula coasts facing COVID-19. </w:t>
      </w:r>
      <w:r w:rsidRPr="003B1C76">
        <w:rPr>
          <w:rFonts w:ascii="Book Antiqua" w:eastAsia=".AppleSystemUIFont Regular" w:hAnsi="Book Antiqua" w:cs=".AppleSystemUIFont Regular"/>
          <w:i/>
          <w:iCs/>
          <w:szCs w:val="18"/>
          <w:lang w:val="en-GB"/>
        </w:rPr>
        <w:t>Ocean and Coastal Management</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212</w:t>
      </w:r>
      <w:r w:rsidRPr="003B1C76">
        <w:rPr>
          <w:rFonts w:ascii="Book Antiqua" w:eastAsia=".AppleSystemUIFont Regular" w:hAnsi="Book Antiqua" w:cs=".AppleSystemUIFont Regular"/>
          <w:szCs w:val="18"/>
          <w:lang w:val="en-GB"/>
        </w:rPr>
        <w:t xml:space="preserve">. </w:t>
      </w:r>
      <w:hyperlink r:id="rId79" w:history="1">
        <w:r w:rsidRPr="003B1C76">
          <w:rPr>
            <w:rStyle w:val="16"/>
            <w:rFonts w:ascii="Book Antiqua" w:eastAsia=".AppleSystemUIFont Regular" w:hAnsi="Book Antiqua" w:cs=".AppleSystemUIFont Regular"/>
            <w:szCs w:val="18"/>
            <w:lang w:val="en-GB"/>
          </w:rPr>
          <w:t>https://doi.org/10.1016/j.ocecoaman.2021.105814</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Pelling, M. (2014). </w:t>
      </w:r>
      <w:r w:rsidRPr="003B1C76">
        <w:rPr>
          <w:rFonts w:ascii="Book Antiqua" w:eastAsia=".AppleSystemUIFont Regular" w:hAnsi="Book Antiqua" w:cs=".AppleSystemUIFont Regular"/>
          <w:i/>
          <w:szCs w:val="18"/>
          <w:lang w:val="en-GB"/>
        </w:rPr>
        <w:t>Adaptation to Climate Change: From Resilience to Transformation.</w:t>
      </w:r>
      <w:r w:rsidRPr="003B1C76">
        <w:rPr>
          <w:rFonts w:ascii="Book Antiqua" w:eastAsia=".AppleSystemUIFont Regular" w:hAnsi="Book Antiqua" w:cs=".AppleSystemUIFont Regular"/>
          <w:szCs w:val="18"/>
          <w:lang w:val="en-GB"/>
        </w:rPr>
        <w:t xml:space="preserve"> Routledge</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Persada</w:t>
      </w:r>
      <w:proofErr w:type="spellEnd"/>
      <w:r w:rsidRPr="003B1C76">
        <w:rPr>
          <w:rFonts w:ascii="Book Antiqua" w:eastAsia=".AppleSystemUIFont Regular" w:hAnsi="Book Antiqua" w:cs=".AppleSystemUIFont Regular"/>
          <w:szCs w:val="18"/>
          <w:lang w:val="en-GB"/>
        </w:rPr>
        <w:t xml:space="preserve">, H. E., &amp; Aji, K. B. (2021). Examining social capital-formed resilience strategy in the tourist destination during the pandemic of COVID-19: A case of </w:t>
      </w:r>
      <w:proofErr w:type="spellStart"/>
      <w:r w:rsidRPr="003B1C76">
        <w:rPr>
          <w:rFonts w:ascii="Book Antiqua" w:eastAsia=".AppleSystemUIFont Regular" w:hAnsi="Book Antiqua" w:cs=".AppleSystemUIFont Regular"/>
          <w:szCs w:val="18"/>
          <w:lang w:val="en-GB"/>
        </w:rPr>
        <w:t>Nglanggeran</w:t>
      </w:r>
      <w:proofErr w:type="spellEnd"/>
      <w:r w:rsidRPr="003B1C76">
        <w:rPr>
          <w:rFonts w:ascii="Book Antiqua" w:eastAsia=".AppleSystemUIFont Regular" w:hAnsi="Book Antiqua" w:cs=".AppleSystemUIFont Regular"/>
          <w:szCs w:val="18"/>
          <w:lang w:val="en-GB"/>
        </w:rPr>
        <w:t xml:space="preserve"> Tourism Village, Indonesia. </w:t>
      </w:r>
      <w:r w:rsidRPr="003B1C76">
        <w:rPr>
          <w:rFonts w:ascii="Book Antiqua" w:eastAsia=".AppleSystemUIFont Regular" w:hAnsi="Book Antiqua" w:cs=".AppleSystemUIFont Regular"/>
          <w:i/>
          <w:szCs w:val="18"/>
          <w:lang w:val="en-GB"/>
        </w:rPr>
        <w:t>ASEAN Journal on Hospitality and Tourism</w:t>
      </w:r>
      <w:r w:rsidRPr="003B1C76">
        <w:rPr>
          <w:rFonts w:ascii="Book Antiqua" w:eastAsia=".AppleSystemUIFont Regular" w:hAnsi="Book Antiqua" w:cs=".AppleSystemUIFont Regular"/>
          <w:szCs w:val="18"/>
          <w:lang w:val="en-GB"/>
        </w:rPr>
        <w:t xml:space="preserve">, 19(3), 264–278. </w:t>
      </w:r>
      <w:hyperlink r:id="rId80" w:history="1">
        <w:r w:rsidRPr="003B1C76">
          <w:rPr>
            <w:rStyle w:val="16"/>
            <w:rFonts w:ascii="Book Antiqua" w:eastAsia=".AppleSystemUIFont Regular" w:hAnsi="Book Antiqua" w:cs=".AppleSystemUIFont Regular"/>
            <w:szCs w:val="18"/>
            <w:lang w:val="en-GB"/>
          </w:rPr>
          <w:t>https://doi.org/10.5614/ajht.2021.19.3.07</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Persson-Fischer, U., &amp; Liu, S. (2021). The impact of a global crisis on areas and topics of tourism research.</w:t>
      </w:r>
      <w:r w:rsidRPr="003B1C76">
        <w:rPr>
          <w:rFonts w:ascii="Book Antiqua" w:eastAsia=".AppleSystemUIFont Regular" w:hAnsi="Book Antiqua" w:cs=".AppleSystemUIFont Regular"/>
          <w:i/>
          <w:szCs w:val="18"/>
          <w:lang w:val="en-GB"/>
        </w:rPr>
        <w:t xml:space="preserve"> </w:t>
      </w:r>
      <w:r w:rsidRPr="003B1C76">
        <w:rPr>
          <w:rFonts w:ascii="Book Antiqua" w:eastAsia=".AppleSystemUIFont Regular" w:hAnsi="Book Antiqua" w:cs=".AppleSystemUIFont Regular"/>
          <w:i/>
          <w:szCs w:val="18"/>
          <w:lang w:val="en-GB"/>
        </w:rPr>
        <w:t>Sustainability</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13</w:t>
      </w:r>
      <w:r w:rsidRPr="003B1C76">
        <w:rPr>
          <w:rFonts w:ascii="Book Antiqua" w:eastAsia=".AppleSystemUIFont Regular" w:hAnsi="Book Antiqua" w:cs=".AppleSystemUIFont Regular"/>
          <w:szCs w:val="18"/>
          <w:lang w:val="en-GB"/>
        </w:rPr>
        <w:t xml:space="preserve">(2), 1–26. </w:t>
      </w:r>
      <w:hyperlink r:id="rId81" w:history="1">
        <w:r w:rsidRPr="003B1C76">
          <w:rPr>
            <w:rStyle w:val="16"/>
            <w:rFonts w:ascii="Book Antiqua" w:eastAsia=".AppleSystemUIFont Regular" w:hAnsi="Book Antiqua" w:cs=".AppleSystemUIFont Regular"/>
            <w:szCs w:val="18"/>
            <w:lang w:val="en-GB"/>
          </w:rPr>
          <w:t>https://doi.org/10.3390/su13020906</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Pielke, Roger A. (1998). Rethinking the role of adaptation in climate policy. </w:t>
      </w:r>
      <w:r w:rsidRPr="003B1C76">
        <w:rPr>
          <w:rFonts w:ascii="Book Antiqua" w:eastAsia=".AppleSystemUIFont Regular" w:hAnsi="Book Antiqua" w:cs=".AppleSystemUIFont Regular"/>
          <w:i/>
          <w:szCs w:val="18"/>
          <w:lang w:val="en-GB"/>
        </w:rPr>
        <w:t>Global Environmental Change,</w:t>
      </w:r>
      <w:r w:rsidRPr="003B1C76">
        <w:rPr>
          <w:rFonts w:ascii="Book Antiqua" w:eastAsia=".AppleSystemUIFont Regular" w:hAnsi="Book Antiqua" w:cs=".AppleSystemUIFont Regular"/>
          <w:szCs w:val="18"/>
          <w:lang w:val="en-GB"/>
        </w:rPr>
        <w:t xml:space="preserve"> 8(2), 159—170.</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Pritchard, A., &amp; Morgan, N. (2017). Tourism’s lost leaders: Analysing gender and performance.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w:t>
      </w:r>
      <w:r w:rsidRPr="003B1C76">
        <w:rPr>
          <w:rFonts w:ascii="Book Antiqua" w:eastAsia=".AppleSystemUIFont Regular" w:hAnsi="Book Antiqua" w:cs=".AppleSystemUIFont Regular"/>
          <w:i/>
          <w:szCs w:val="18"/>
          <w:lang w:val="en-GB"/>
        </w:rPr>
        <w:t xml:space="preserve"> 63</w:t>
      </w:r>
      <w:r w:rsidRPr="003B1C76">
        <w:rPr>
          <w:rFonts w:ascii="Book Antiqua" w:eastAsia=".AppleSystemUIFont Regular" w:hAnsi="Book Antiqua" w:cs=".AppleSystemUIFont Regular"/>
          <w:szCs w:val="18"/>
          <w:lang w:val="en-GB"/>
        </w:rPr>
        <w:t xml:space="preserve">, 34–47. </w:t>
      </w:r>
      <w:hyperlink r:id="rId82" w:history="1">
        <w:r w:rsidRPr="003B1C76">
          <w:rPr>
            <w:rStyle w:val="16"/>
            <w:rFonts w:ascii="Book Antiqua" w:eastAsia=".AppleSystemUIFont Regular" w:hAnsi="Book Antiqua" w:cs=".AppleSystemUIFont Regular"/>
            <w:szCs w:val="18"/>
            <w:lang w:val="en-GB"/>
          </w:rPr>
          <w:t>https://doi.org/10.1016/j.annals.2016.12.011</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Purcell, K. (1996). The relationship between career and job opportunities: women’s employment in the hospitality industry as a microcosm of women’s employment. </w:t>
      </w:r>
      <w:r w:rsidRPr="003B1C76">
        <w:rPr>
          <w:rFonts w:ascii="Book Antiqua" w:eastAsia=".AppleSystemUIFont Regular" w:hAnsi="Book Antiqua" w:cs=".AppleSystemUIFont Regular"/>
          <w:i/>
          <w:szCs w:val="18"/>
          <w:lang w:val="en-GB"/>
        </w:rPr>
        <w:t>Women in Management Review</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11</w:t>
      </w:r>
      <w:r w:rsidRPr="003B1C76">
        <w:rPr>
          <w:rFonts w:ascii="Book Antiqua" w:eastAsia=".AppleSystemUIFont Regular" w:hAnsi="Book Antiqua" w:cs=".AppleSystemUIFont Regular"/>
          <w:szCs w:val="18"/>
          <w:lang w:val="en-GB"/>
        </w:rPr>
        <w:t>(5), 17–24.</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Quintal, V., Sung, B., Lee, S., Quintal, V., Sung, B., &amp; Lee, S. (2021). Is the coast clear? Trust, risk-reducing behaviours and anxiety toward cruise travel in the wake of COVID-19. </w:t>
      </w:r>
      <w:r w:rsidRPr="003B1C76">
        <w:rPr>
          <w:rFonts w:ascii="Book Antiqua" w:eastAsia=".AppleSystemUIFont Regular" w:hAnsi="Book Antiqua" w:cs=".AppleSystemUIFont Regular"/>
          <w:i/>
          <w:iCs/>
          <w:szCs w:val="18"/>
          <w:lang w:val="en-GB"/>
        </w:rPr>
        <w:t>Current Issues in Tourism</w:t>
      </w:r>
      <w:r w:rsidRPr="003B1C76">
        <w:rPr>
          <w:rFonts w:ascii="Book Antiqua" w:eastAsia=".AppleSystemUIFont Regular" w:hAnsi="Book Antiqua" w:cs=".AppleSystemUIFont Regular"/>
          <w:szCs w:val="18"/>
          <w:lang w:val="en-GB"/>
        </w:rPr>
        <w:t xml:space="preserve">, 1–13. </w:t>
      </w:r>
      <w:hyperlink r:id="rId83" w:history="1">
        <w:r w:rsidRPr="003B1C76">
          <w:rPr>
            <w:rStyle w:val="16"/>
            <w:rFonts w:ascii="Book Antiqua" w:eastAsia=".AppleSystemUIFont Regular" w:hAnsi="Book Antiqua" w:cs=".AppleSystemUIFont Regular"/>
            <w:szCs w:val="18"/>
            <w:lang w:val="en-GB"/>
          </w:rPr>
          <w:t>https://doi.org/10.1080/13683500.2021.1880377</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Ristiawan</w:t>
      </w:r>
      <w:proofErr w:type="spellEnd"/>
      <w:r w:rsidRPr="003B1C76">
        <w:rPr>
          <w:rFonts w:ascii="Book Antiqua" w:eastAsia=".AppleSystemUIFont Regular" w:hAnsi="Book Antiqua" w:cs=".AppleSystemUIFont Regular"/>
          <w:szCs w:val="18"/>
          <w:lang w:val="en-GB"/>
        </w:rPr>
        <w:t xml:space="preserve">, R., &amp; </w:t>
      </w:r>
      <w:proofErr w:type="spellStart"/>
      <w:r w:rsidRPr="003B1C76">
        <w:rPr>
          <w:rFonts w:ascii="Book Antiqua" w:eastAsia=".AppleSystemUIFont Regular" w:hAnsi="Book Antiqua" w:cs=".AppleSystemUIFont Regular"/>
          <w:szCs w:val="18"/>
          <w:lang w:val="en-GB"/>
        </w:rPr>
        <w:t>Tiberghien</w:t>
      </w:r>
      <w:proofErr w:type="spellEnd"/>
      <w:r w:rsidRPr="003B1C76">
        <w:rPr>
          <w:rFonts w:ascii="Book Antiqua" w:eastAsia=".AppleSystemUIFont Regular" w:hAnsi="Book Antiqua" w:cs=".AppleSystemUIFont Regular"/>
          <w:szCs w:val="18"/>
          <w:lang w:val="en-GB"/>
        </w:rPr>
        <w:t xml:space="preserve">, G. (2021). A critical assessment of community-based tourism practices in </w:t>
      </w:r>
      <w:proofErr w:type="spellStart"/>
      <w:r w:rsidRPr="003B1C76">
        <w:rPr>
          <w:rFonts w:ascii="Book Antiqua" w:eastAsia=".AppleSystemUIFont Regular" w:hAnsi="Book Antiqua" w:cs=".AppleSystemUIFont Regular"/>
          <w:szCs w:val="18"/>
          <w:lang w:val="en-GB"/>
        </w:rPr>
        <w:t>Nglanggeran</w:t>
      </w:r>
      <w:proofErr w:type="spellEnd"/>
      <w:r w:rsidRPr="003B1C76">
        <w:rPr>
          <w:rFonts w:ascii="Book Antiqua" w:eastAsia=".AppleSystemUIFont Regular" w:hAnsi="Book Antiqua" w:cs=".AppleSystemUIFont Regular"/>
          <w:szCs w:val="18"/>
          <w:lang w:val="en-GB"/>
        </w:rPr>
        <w:t xml:space="preserve"> Ecotourism Village, Indonesia. </w:t>
      </w:r>
      <w:r w:rsidRPr="003B1C76">
        <w:rPr>
          <w:rFonts w:ascii="Book Antiqua" w:eastAsia=".AppleSystemUIFont Regular" w:hAnsi="Book Antiqua" w:cs=".AppleSystemUIFont Regular"/>
          <w:i/>
          <w:szCs w:val="18"/>
          <w:lang w:val="en-GB"/>
        </w:rPr>
        <w:t>Journal of Indonesian Tourism and Development Studies</w:t>
      </w:r>
      <w:r w:rsidRPr="003B1C76">
        <w:rPr>
          <w:rFonts w:ascii="Book Antiqua" w:eastAsia=".AppleSystemUIFont Regular" w:hAnsi="Book Antiqua" w:cs=".AppleSystemUIFont Regular"/>
          <w:szCs w:val="18"/>
          <w:lang w:val="en-GB"/>
        </w:rPr>
        <w:t xml:space="preserve">, 9(1), 26–37. </w:t>
      </w:r>
      <w:hyperlink r:id="rId84" w:history="1">
        <w:r w:rsidRPr="003B1C76">
          <w:rPr>
            <w:rStyle w:val="16"/>
            <w:rFonts w:ascii="Book Antiqua" w:eastAsia=".AppleSystemUIFont Regular" w:hAnsi="Book Antiqua" w:cs=".AppleSystemUIFont Regular"/>
            <w:szCs w:val="18"/>
            <w:lang w:val="en-GB"/>
          </w:rPr>
          <w:t>https://doi.org/10.21776/ub.jitode.2021.009.01.04</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Roman, C. E., Lynch, A. H., &amp; </w:t>
      </w:r>
      <w:proofErr w:type="spellStart"/>
      <w:r w:rsidRPr="003B1C76">
        <w:rPr>
          <w:rFonts w:ascii="Book Antiqua" w:eastAsia=".AppleSystemUIFont Regular" w:hAnsi="Book Antiqua" w:cs=".AppleSystemUIFont Regular"/>
          <w:szCs w:val="18"/>
          <w:lang w:val="en-GB"/>
        </w:rPr>
        <w:t>Dominey</w:t>
      </w:r>
      <w:proofErr w:type="spellEnd"/>
      <w:r w:rsidRPr="003B1C76">
        <w:rPr>
          <w:rFonts w:ascii="Book Antiqua" w:eastAsia=".AppleSystemUIFont Regular" w:hAnsi="Book Antiqua" w:cs=".AppleSystemUIFont Regular"/>
          <w:szCs w:val="18"/>
          <w:lang w:val="en-GB"/>
        </w:rPr>
        <w:t xml:space="preserve">-Howes, D. (2010). Uncovering the essence of the climate change adaptation problem-a case study of the tourism sector at Alpine Shire, Victoria, Australia. </w:t>
      </w:r>
      <w:r w:rsidRPr="003B1C76">
        <w:rPr>
          <w:rFonts w:ascii="Book Antiqua" w:eastAsia=".AppleSystemUIFont Regular" w:hAnsi="Book Antiqua" w:cs=".AppleSystemUIFont Regular"/>
          <w:i/>
          <w:iCs/>
          <w:szCs w:val="18"/>
          <w:lang w:val="en-GB"/>
        </w:rPr>
        <w:t>Tourism and Hospitality Planning and Development</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7</w:t>
      </w:r>
      <w:r w:rsidRPr="003B1C76">
        <w:rPr>
          <w:rFonts w:ascii="Book Antiqua" w:eastAsia=".AppleSystemUIFont Regular" w:hAnsi="Book Antiqua" w:cs=".AppleSystemUIFont Regular"/>
          <w:szCs w:val="18"/>
          <w:lang w:val="en-GB"/>
        </w:rPr>
        <w:t xml:space="preserve">(3), 237–252. </w:t>
      </w:r>
      <w:hyperlink r:id="rId85" w:history="1">
        <w:r w:rsidRPr="003B1C76">
          <w:rPr>
            <w:rStyle w:val="16"/>
            <w:rFonts w:ascii="Book Antiqua" w:eastAsia=".AppleSystemUIFont Regular" w:hAnsi="Book Antiqua" w:cs=".AppleSystemUIFont Regular"/>
            <w:szCs w:val="18"/>
            <w:lang w:val="en-GB"/>
          </w:rPr>
          <w:t>https://doi.org/10.1080/1479053X.2010.503049</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Rydzik</w:t>
      </w:r>
      <w:proofErr w:type="spellEnd"/>
      <w:r w:rsidRPr="003B1C76">
        <w:rPr>
          <w:rFonts w:ascii="Book Antiqua" w:eastAsia=".AppleSystemUIFont Regular" w:hAnsi="Book Antiqua" w:cs=".AppleSystemUIFont Regular"/>
          <w:szCs w:val="18"/>
          <w:lang w:val="en-GB"/>
        </w:rPr>
        <w:t xml:space="preserve">, A., &amp; </w:t>
      </w:r>
      <w:proofErr w:type="spellStart"/>
      <w:r w:rsidRPr="003B1C76">
        <w:rPr>
          <w:rFonts w:ascii="Book Antiqua" w:eastAsia=".AppleSystemUIFont Regular" w:hAnsi="Book Antiqua" w:cs=".AppleSystemUIFont Regular"/>
          <w:szCs w:val="18"/>
          <w:lang w:val="en-GB"/>
        </w:rPr>
        <w:t>Anitha</w:t>
      </w:r>
      <w:proofErr w:type="spellEnd"/>
      <w:r w:rsidRPr="003B1C76">
        <w:rPr>
          <w:rFonts w:ascii="Book Antiqua" w:eastAsia=".AppleSystemUIFont Regular" w:hAnsi="Book Antiqua" w:cs=".AppleSystemUIFont Regular"/>
          <w:szCs w:val="18"/>
          <w:lang w:val="en-GB"/>
        </w:rPr>
        <w:t xml:space="preserve">, S. (2020). Conceptualising the Agency of Migrant Women Workers: Resilience, Reworking and Resistance. </w:t>
      </w:r>
      <w:r w:rsidRPr="003B1C76">
        <w:rPr>
          <w:rFonts w:ascii="Book Antiqua" w:eastAsia=".AppleSystemUIFont Regular" w:hAnsi="Book Antiqua" w:cs=".AppleSystemUIFont Regular"/>
          <w:i/>
          <w:szCs w:val="18"/>
          <w:lang w:val="en-GB"/>
        </w:rPr>
        <w:t>Work, Employment and Society</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34</w:t>
      </w:r>
      <w:r w:rsidRPr="003B1C76">
        <w:rPr>
          <w:rFonts w:ascii="Book Antiqua" w:eastAsia=".AppleSystemUIFont Regular" w:hAnsi="Book Antiqua" w:cs=".AppleSystemUIFont Regular"/>
          <w:szCs w:val="18"/>
          <w:lang w:val="en-GB"/>
        </w:rPr>
        <w:t xml:space="preserve">(5), 883–899. </w:t>
      </w:r>
      <w:hyperlink r:id="rId86" w:history="1">
        <w:r w:rsidRPr="003B1C76">
          <w:rPr>
            <w:rStyle w:val="16"/>
            <w:rFonts w:ascii="Book Antiqua" w:eastAsia=".AppleSystemUIFont Regular" w:hAnsi="Book Antiqua" w:cs=".AppleSystemUIFont Regular"/>
            <w:szCs w:val="18"/>
            <w:lang w:val="en-GB"/>
          </w:rPr>
          <w:t>https://doi.org/10.1177/0950017019881939</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Scheyvens</w:t>
      </w:r>
      <w:proofErr w:type="spellEnd"/>
      <w:r w:rsidRPr="003B1C76">
        <w:rPr>
          <w:rFonts w:ascii="Book Antiqua" w:eastAsia=".AppleSystemUIFont Regular" w:hAnsi="Book Antiqua" w:cs=".AppleSystemUIFont Regular"/>
          <w:szCs w:val="18"/>
          <w:lang w:val="en-GB"/>
        </w:rPr>
        <w:t xml:space="preserve">, R. (2000). Promoting women’s empowerment through involvement in ecotourism: Experiences from the third world. </w:t>
      </w:r>
      <w:r w:rsidRPr="003B1C76">
        <w:rPr>
          <w:rFonts w:ascii="Book Antiqua" w:eastAsia=".AppleSystemUIFont Regular" w:hAnsi="Book Antiqua" w:cs=".AppleSystemUIFont Regular"/>
          <w:i/>
          <w:iCs/>
          <w:szCs w:val="18"/>
          <w:lang w:val="en-GB"/>
        </w:rPr>
        <w:t>Journal of Sustainable Tourism</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8</w:t>
      </w:r>
      <w:r w:rsidRPr="003B1C76">
        <w:rPr>
          <w:rFonts w:ascii="Book Antiqua" w:eastAsia=".AppleSystemUIFont Regular" w:hAnsi="Book Antiqua" w:cs=".AppleSystemUIFont Regular"/>
          <w:szCs w:val="18"/>
          <w:lang w:val="en-GB"/>
        </w:rPr>
        <w:t xml:space="preserve">(3), 232–249. </w:t>
      </w:r>
      <w:hyperlink r:id="rId87" w:history="1">
        <w:r w:rsidRPr="003B1C76">
          <w:rPr>
            <w:rStyle w:val="16"/>
            <w:rFonts w:ascii="Book Antiqua" w:eastAsia=".AppleSystemUIFont Regular" w:hAnsi="Book Antiqua" w:cs=".AppleSystemUIFont Regular"/>
            <w:szCs w:val="18"/>
            <w:lang w:val="en-GB"/>
          </w:rPr>
          <w:t>https://doi.org/10.1080/09669580008667360</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Sinclair, T. M. (2005). </w:t>
      </w:r>
      <w:r w:rsidRPr="003B1C76">
        <w:rPr>
          <w:rFonts w:ascii="Book Antiqua" w:eastAsia=".AppleSystemUIFont Regular" w:hAnsi="Book Antiqua" w:cs=".AppleSystemUIFont Regular"/>
          <w:i/>
          <w:szCs w:val="18"/>
          <w:lang w:val="en-GB"/>
        </w:rPr>
        <w:t>Gender, Work, and Tourism</w:t>
      </w:r>
      <w:r w:rsidRPr="003B1C76">
        <w:rPr>
          <w:rFonts w:ascii="Book Antiqua" w:eastAsia=".AppleSystemUIFont Regular" w:hAnsi="Book Antiqua" w:cs=".AppleSystemUIFont Regular"/>
          <w:szCs w:val="18"/>
          <w:lang w:val="en-GB"/>
        </w:rPr>
        <w:t>. London: Routledge.</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Smit, B., &amp; </w:t>
      </w:r>
      <w:proofErr w:type="spellStart"/>
      <w:r w:rsidRPr="003B1C76">
        <w:rPr>
          <w:rFonts w:ascii="Book Antiqua" w:eastAsia=".AppleSystemUIFont Regular" w:hAnsi="Book Antiqua" w:cs=".AppleSystemUIFont Regular"/>
          <w:szCs w:val="18"/>
          <w:lang w:val="en-GB"/>
        </w:rPr>
        <w:t>Wandel</w:t>
      </w:r>
      <w:proofErr w:type="spellEnd"/>
      <w:r w:rsidRPr="003B1C76">
        <w:rPr>
          <w:rFonts w:ascii="Book Antiqua" w:eastAsia=".AppleSystemUIFont Regular" w:hAnsi="Book Antiqua" w:cs=".AppleSystemUIFont Regular"/>
          <w:szCs w:val="18"/>
          <w:lang w:val="en-GB"/>
        </w:rPr>
        <w:t xml:space="preserve">, J. (2006). Adaptation, adaptive capacity and vulnerability. </w:t>
      </w:r>
      <w:r w:rsidRPr="003B1C76">
        <w:rPr>
          <w:rFonts w:ascii="Book Antiqua" w:eastAsia=".AppleSystemUIFont Regular" w:hAnsi="Book Antiqua" w:cs=".AppleSystemUIFont Regular"/>
          <w:i/>
          <w:iCs/>
          <w:szCs w:val="18"/>
          <w:lang w:val="en-GB"/>
        </w:rPr>
        <w:t>Global Environmental Change</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16</w:t>
      </w:r>
      <w:r w:rsidRPr="003B1C76">
        <w:rPr>
          <w:rFonts w:ascii="Book Antiqua" w:eastAsia=".AppleSystemUIFont Regular" w:hAnsi="Book Antiqua" w:cs=".AppleSystemUIFont Regular"/>
          <w:szCs w:val="18"/>
          <w:lang w:val="en-GB"/>
        </w:rPr>
        <w:t xml:space="preserve">(3), 282–292. </w:t>
      </w:r>
      <w:hyperlink r:id="rId88" w:history="1">
        <w:r w:rsidRPr="003B1C76">
          <w:rPr>
            <w:rStyle w:val="16"/>
            <w:rFonts w:ascii="Book Antiqua" w:eastAsia=".AppleSystemUIFont Regular" w:hAnsi="Book Antiqua" w:cs=".AppleSystemUIFont Regular"/>
            <w:szCs w:val="18"/>
            <w:lang w:val="en-GB"/>
          </w:rPr>
          <w:t>https://doi.org/10.1016/j.gloenvcha.2006.03.008</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Sushartami</w:t>
      </w:r>
      <w:proofErr w:type="spellEnd"/>
      <w:r w:rsidRPr="003B1C76">
        <w:rPr>
          <w:rFonts w:ascii="Book Antiqua" w:eastAsia=".AppleSystemUIFont Regular" w:hAnsi="Book Antiqua" w:cs=".AppleSystemUIFont Regular"/>
          <w:szCs w:val="18"/>
          <w:lang w:val="en-GB"/>
        </w:rPr>
        <w:t xml:space="preserve">, W. (2016). </w:t>
      </w:r>
      <w:proofErr w:type="spellStart"/>
      <w:r w:rsidRPr="003B1C76">
        <w:rPr>
          <w:rFonts w:ascii="Book Antiqua" w:eastAsia=".AppleSystemUIFont Regular" w:hAnsi="Book Antiqua" w:cs=".AppleSystemUIFont Regular"/>
          <w:szCs w:val="18"/>
          <w:lang w:val="en-GB"/>
        </w:rPr>
        <w:t>Partisipasi</w:t>
      </w:r>
      <w:proofErr w:type="spellEnd"/>
      <w:r w:rsidRPr="003B1C76">
        <w:rPr>
          <w:rFonts w:ascii="Book Antiqua" w:eastAsia=".AppleSystemUIFont Regular" w:hAnsi="Book Antiqua" w:cs=".AppleSystemUIFont Regular"/>
          <w:szCs w:val="18"/>
          <w:lang w:val="en-GB"/>
        </w:rPr>
        <w:t xml:space="preserve"> Perempuan </w:t>
      </w:r>
      <w:proofErr w:type="spellStart"/>
      <w:r w:rsidRPr="003B1C76">
        <w:rPr>
          <w:rFonts w:ascii="Book Antiqua" w:eastAsia=".AppleSystemUIFont Regular" w:hAnsi="Book Antiqua" w:cs=".AppleSystemUIFont Regular"/>
          <w:szCs w:val="18"/>
          <w:lang w:val="en-GB"/>
        </w:rPr>
        <w:t>dalam</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Pengembangan</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Ekowisata</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Berbasis</w:t>
      </w:r>
      <w:proofErr w:type="spellEnd"/>
      <w:r w:rsidRPr="003B1C76">
        <w:rPr>
          <w:rFonts w:ascii="Book Antiqua" w:eastAsia=".AppleSystemUIFont Regular" w:hAnsi="Book Antiqua" w:cs=".AppleSystemUIFont Regular"/>
          <w:szCs w:val="18"/>
          <w:lang w:val="en-GB"/>
        </w:rPr>
        <w:t xml:space="preserve"> Masyarakat </w:t>
      </w:r>
      <w:proofErr w:type="spellStart"/>
      <w:r w:rsidRPr="003B1C76">
        <w:rPr>
          <w:rFonts w:ascii="Book Antiqua" w:eastAsia=".AppleSystemUIFont Regular" w:hAnsi="Book Antiqua" w:cs=".AppleSystemUIFont Regular"/>
          <w:szCs w:val="18"/>
          <w:lang w:val="en-GB"/>
        </w:rPr>
        <w:t>sebagai</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Praktik</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Kewargaan</w:t>
      </w:r>
      <w:proofErr w:type="spellEnd"/>
      <w:r w:rsidRPr="003B1C76">
        <w:rPr>
          <w:rFonts w:ascii="Book Antiqua" w:eastAsia=".AppleSystemUIFont Regular" w:hAnsi="Book Antiqua" w:cs=".AppleSystemUIFont Regular"/>
          <w:szCs w:val="18"/>
          <w:lang w:val="en-GB"/>
        </w:rPr>
        <w:t xml:space="preserve"> dan </w:t>
      </w:r>
      <w:proofErr w:type="spellStart"/>
      <w:r w:rsidRPr="003B1C76">
        <w:rPr>
          <w:rFonts w:ascii="Book Antiqua" w:eastAsia=".AppleSystemUIFont Regular" w:hAnsi="Book Antiqua" w:cs=".AppleSystemUIFont Regular"/>
          <w:szCs w:val="18"/>
          <w:lang w:val="en-GB"/>
        </w:rPr>
        <w:t>Perwujudan</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Kesejahteraan</w:t>
      </w:r>
      <w:proofErr w:type="spellEnd"/>
      <w:r w:rsidRPr="003B1C76">
        <w:rPr>
          <w:rFonts w:ascii="Book Antiqua" w:eastAsia=".AppleSystemUIFont Regular" w:hAnsi="Book Antiqua" w:cs=".AppleSystemUIFont Regular"/>
          <w:szCs w:val="18"/>
          <w:lang w:val="en-GB"/>
        </w:rPr>
        <w:t xml:space="preserve"> Non-negara: </w:t>
      </w:r>
      <w:proofErr w:type="spellStart"/>
      <w:r w:rsidRPr="003B1C76">
        <w:rPr>
          <w:rFonts w:ascii="Book Antiqua" w:eastAsia=".AppleSystemUIFont Regular" w:hAnsi="Book Antiqua" w:cs=".AppleSystemUIFont Regular"/>
          <w:szCs w:val="18"/>
          <w:lang w:val="en-GB"/>
        </w:rPr>
        <w:t>Studi</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Kasus</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Desa</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Wisata</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Nglanggeran</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Gunung</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Kidul</w:t>
      </w:r>
      <w:proofErr w:type="spellEnd"/>
      <w:r w:rsidRPr="003B1C76">
        <w:rPr>
          <w:rFonts w:ascii="Book Antiqua" w:eastAsia=".AppleSystemUIFont Regular" w:hAnsi="Book Antiqua" w:cs=".AppleSystemUIFont Regular"/>
          <w:szCs w:val="18"/>
          <w:lang w:val="en-GB"/>
        </w:rPr>
        <w:t xml:space="preserve">, Yogyakarta. In A. </w:t>
      </w:r>
      <w:proofErr w:type="spellStart"/>
      <w:r w:rsidRPr="003B1C76">
        <w:rPr>
          <w:rFonts w:ascii="Book Antiqua" w:eastAsia=".AppleSystemUIFont Regular" w:hAnsi="Book Antiqua" w:cs=".AppleSystemUIFont Regular"/>
          <w:szCs w:val="18"/>
          <w:lang w:val="en-GB"/>
        </w:rPr>
        <w:t>Suwignyo</w:t>
      </w:r>
      <w:proofErr w:type="spellEnd"/>
      <w:r w:rsidRPr="003B1C76">
        <w:rPr>
          <w:rFonts w:ascii="Book Antiqua" w:eastAsia=".AppleSystemUIFont Regular" w:hAnsi="Book Antiqua" w:cs=".AppleSystemUIFont Regular"/>
          <w:szCs w:val="18"/>
          <w:lang w:val="en-GB"/>
        </w:rPr>
        <w:t xml:space="preserve">, W. </w:t>
      </w:r>
      <w:proofErr w:type="spellStart"/>
      <w:r w:rsidRPr="003B1C76">
        <w:rPr>
          <w:rFonts w:ascii="Book Antiqua" w:eastAsia=".AppleSystemUIFont Regular" w:hAnsi="Book Antiqua" w:cs=".AppleSystemUIFont Regular"/>
          <w:szCs w:val="18"/>
          <w:lang w:val="en-GB"/>
        </w:rPr>
        <w:t>Sushartami</w:t>
      </w:r>
      <w:proofErr w:type="spellEnd"/>
      <w:r w:rsidRPr="003B1C76">
        <w:rPr>
          <w:rFonts w:ascii="Book Antiqua" w:eastAsia=".AppleSystemUIFont Regular" w:hAnsi="Book Antiqua" w:cs=".AppleSystemUIFont Regular"/>
          <w:szCs w:val="18"/>
          <w:lang w:val="en-GB"/>
        </w:rPr>
        <w:t xml:space="preserve">, &amp; U. Nugroho (Eds.), </w:t>
      </w:r>
      <w:proofErr w:type="spellStart"/>
      <w:r w:rsidRPr="003B1C76">
        <w:rPr>
          <w:rFonts w:ascii="Book Antiqua" w:eastAsia=".AppleSystemUIFont Regular" w:hAnsi="Book Antiqua" w:cs=".AppleSystemUIFont Regular"/>
          <w:i/>
          <w:szCs w:val="18"/>
          <w:lang w:val="en-GB"/>
        </w:rPr>
        <w:t>Transformasi</w:t>
      </w:r>
      <w:proofErr w:type="spellEnd"/>
      <w:r w:rsidRPr="003B1C76">
        <w:rPr>
          <w:rFonts w:ascii="Book Antiqua" w:eastAsia=".AppleSystemUIFont Regular" w:hAnsi="Book Antiqua" w:cs=".AppleSystemUIFont Regular"/>
          <w:i/>
          <w:szCs w:val="18"/>
          <w:lang w:val="en-GB"/>
        </w:rPr>
        <w:t xml:space="preserve"> </w:t>
      </w:r>
      <w:proofErr w:type="spellStart"/>
      <w:r w:rsidRPr="003B1C76">
        <w:rPr>
          <w:rFonts w:ascii="Book Antiqua" w:eastAsia=".AppleSystemUIFont Regular" w:hAnsi="Book Antiqua" w:cs=".AppleSystemUIFont Regular"/>
          <w:i/>
          <w:szCs w:val="18"/>
          <w:lang w:val="en-GB"/>
        </w:rPr>
        <w:t>Institusi-Institusi</w:t>
      </w:r>
      <w:proofErr w:type="spellEnd"/>
      <w:r w:rsidRPr="003B1C76">
        <w:rPr>
          <w:rFonts w:ascii="Book Antiqua" w:eastAsia=".AppleSystemUIFont Regular" w:hAnsi="Book Antiqua" w:cs=".AppleSystemUIFont Regular"/>
          <w:i/>
          <w:szCs w:val="18"/>
          <w:lang w:val="en-GB"/>
        </w:rPr>
        <w:t xml:space="preserve"> Non-Negara </w:t>
      </w:r>
      <w:proofErr w:type="spellStart"/>
      <w:r w:rsidRPr="003B1C76">
        <w:rPr>
          <w:rFonts w:ascii="Book Antiqua" w:eastAsia=".AppleSystemUIFont Regular" w:hAnsi="Book Antiqua" w:cs=".AppleSystemUIFont Regular"/>
          <w:i/>
          <w:szCs w:val="18"/>
          <w:lang w:val="en-GB"/>
        </w:rPr>
        <w:t>dalam</w:t>
      </w:r>
      <w:proofErr w:type="spellEnd"/>
      <w:r w:rsidRPr="003B1C76">
        <w:rPr>
          <w:rFonts w:ascii="Book Antiqua" w:eastAsia=".AppleSystemUIFont Regular" w:hAnsi="Book Antiqua" w:cs=".AppleSystemUIFont Regular"/>
          <w:i/>
          <w:szCs w:val="18"/>
          <w:lang w:val="en-GB"/>
        </w:rPr>
        <w:t xml:space="preserve"> </w:t>
      </w:r>
      <w:proofErr w:type="spellStart"/>
      <w:r w:rsidRPr="003B1C76">
        <w:rPr>
          <w:rFonts w:ascii="Book Antiqua" w:eastAsia=".AppleSystemUIFont Regular" w:hAnsi="Book Antiqua" w:cs=".AppleSystemUIFont Regular"/>
          <w:i/>
          <w:szCs w:val="18"/>
          <w:lang w:val="en-GB"/>
        </w:rPr>
        <w:t>Perwujudan</w:t>
      </w:r>
      <w:proofErr w:type="spellEnd"/>
      <w:r w:rsidRPr="003B1C76">
        <w:rPr>
          <w:rFonts w:ascii="Book Antiqua" w:eastAsia=".AppleSystemUIFont Regular" w:hAnsi="Book Antiqua" w:cs=".AppleSystemUIFont Regular"/>
          <w:i/>
          <w:szCs w:val="18"/>
          <w:lang w:val="en-GB"/>
        </w:rPr>
        <w:t xml:space="preserve"> </w:t>
      </w:r>
      <w:proofErr w:type="spellStart"/>
      <w:r w:rsidRPr="003B1C76">
        <w:rPr>
          <w:rFonts w:ascii="Book Antiqua" w:eastAsia=".AppleSystemUIFont Regular" w:hAnsi="Book Antiqua" w:cs=".AppleSystemUIFont Regular"/>
          <w:i/>
          <w:szCs w:val="18"/>
          <w:lang w:val="en-GB"/>
        </w:rPr>
        <w:t>Kesejahteraan</w:t>
      </w:r>
      <w:proofErr w:type="spellEnd"/>
      <w:r w:rsidRPr="003B1C76">
        <w:rPr>
          <w:rFonts w:ascii="Book Antiqua" w:eastAsia=".AppleSystemUIFont Regular" w:hAnsi="Book Antiqua" w:cs=".AppleSystemUIFont Regular"/>
          <w:i/>
          <w:szCs w:val="18"/>
          <w:lang w:val="en-GB"/>
        </w:rPr>
        <w:t xml:space="preserve"> dan </w:t>
      </w:r>
      <w:proofErr w:type="spellStart"/>
      <w:r w:rsidRPr="003B1C76">
        <w:rPr>
          <w:rFonts w:ascii="Book Antiqua" w:eastAsia=".AppleSystemUIFont Regular" w:hAnsi="Book Antiqua" w:cs=".AppleSystemUIFont Regular"/>
          <w:i/>
          <w:szCs w:val="18"/>
          <w:lang w:val="en-GB"/>
        </w:rPr>
        <w:t>Penguatan</w:t>
      </w:r>
      <w:proofErr w:type="spellEnd"/>
      <w:r w:rsidRPr="003B1C76">
        <w:rPr>
          <w:rFonts w:ascii="Book Antiqua" w:eastAsia=".AppleSystemUIFont Regular" w:hAnsi="Book Antiqua" w:cs=".AppleSystemUIFont Regular"/>
          <w:i/>
          <w:szCs w:val="18"/>
          <w:lang w:val="en-GB"/>
        </w:rPr>
        <w:t xml:space="preserve"> Rasa </w:t>
      </w:r>
      <w:proofErr w:type="spellStart"/>
      <w:r w:rsidRPr="003B1C76">
        <w:rPr>
          <w:rFonts w:ascii="Book Antiqua" w:eastAsia=".AppleSystemUIFont Regular" w:hAnsi="Book Antiqua" w:cs=".AppleSystemUIFont Regular"/>
          <w:i/>
          <w:szCs w:val="18"/>
          <w:lang w:val="en-GB"/>
        </w:rPr>
        <w:t>Kewargaan</w:t>
      </w:r>
      <w:proofErr w:type="spellEnd"/>
      <w:r w:rsidRPr="003B1C76">
        <w:rPr>
          <w:rFonts w:ascii="Book Antiqua" w:eastAsia=".AppleSystemUIFont Regular" w:hAnsi="Book Antiqua" w:cs=".AppleSystemUIFont Regular"/>
          <w:i/>
          <w:szCs w:val="18"/>
          <w:lang w:val="en-GB"/>
        </w:rPr>
        <w:t xml:space="preserve">: Kajian Sejarah, </w:t>
      </w:r>
      <w:proofErr w:type="spellStart"/>
      <w:r w:rsidRPr="003B1C76">
        <w:rPr>
          <w:rFonts w:ascii="Book Antiqua" w:eastAsia=".AppleSystemUIFont Regular" w:hAnsi="Book Antiqua" w:cs=".AppleSystemUIFont Regular"/>
          <w:i/>
          <w:szCs w:val="18"/>
          <w:lang w:val="en-GB"/>
        </w:rPr>
        <w:t>Antropologi</w:t>
      </w:r>
      <w:proofErr w:type="spellEnd"/>
      <w:r w:rsidRPr="003B1C76">
        <w:rPr>
          <w:rFonts w:ascii="Book Antiqua" w:eastAsia=".AppleSystemUIFont Regular" w:hAnsi="Book Antiqua" w:cs=".AppleSystemUIFont Regular"/>
          <w:i/>
          <w:szCs w:val="18"/>
          <w:lang w:val="en-GB"/>
        </w:rPr>
        <w:t xml:space="preserve"> </w:t>
      </w:r>
      <w:proofErr w:type="spellStart"/>
      <w:r w:rsidRPr="003B1C76">
        <w:rPr>
          <w:rFonts w:ascii="Book Antiqua" w:eastAsia=".AppleSystemUIFont Regular" w:hAnsi="Book Antiqua" w:cs=".AppleSystemUIFont Regular"/>
          <w:i/>
          <w:szCs w:val="18"/>
          <w:lang w:val="en-GB"/>
        </w:rPr>
        <w:t>Pariwisata</w:t>
      </w:r>
      <w:proofErr w:type="spellEnd"/>
      <w:r w:rsidRPr="003B1C76">
        <w:rPr>
          <w:rFonts w:ascii="Book Antiqua" w:eastAsia=".AppleSystemUIFont Regular" w:hAnsi="Book Antiqua" w:cs=".AppleSystemUIFont Regular"/>
          <w:i/>
          <w:szCs w:val="18"/>
          <w:lang w:val="en-GB"/>
        </w:rPr>
        <w:t xml:space="preserve">, dan </w:t>
      </w:r>
      <w:proofErr w:type="spellStart"/>
      <w:r w:rsidRPr="003B1C76">
        <w:rPr>
          <w:rFonts w:ascii="Book Antiqua" w:eastAsia=".AppleSystemUIFont Regular" w:hAnsi="Book Antiqua" w:cs=".AppleSystemUIFont Regular"/>
          <w:i/>
          <w:szCs w:val="18"/>
          <w:lang w:val="en-GB"/>
        </w:rPr>
        <w:t>Historiografi</w:t>
      </w:r>
      <w:proofErr w:type="spellEnd"/>
      <w:r w:rsidRPr="003B1C76">
        <w:rPr>
          <w:rFonts w:ascii="Book Antiqua" w:eastAsia=".AppleSystemUIFont Regular" w:hAnsi="Book Antiqua" w:cs=".AppleSystemUIFont Regular"/>
          <w:szCs w:val="18"/>
          <w:lang w:val="en-GB"/>
        </w:rPr>
        <w:t xml:space="preserve"> (pp. 1–27). </w:t>
      </w:r>
      <w:proofErr w:type="spellStart"/>
      <w:r w:rsidRPr="003B1C76">
        <w:rPr>
          <w:rFonts w:ascii="Book Antiqua" w:eastAsia=".AppleSystemUIFont Regular" w:hAnsi="Book Antiqua" w:cs=".AppleSystemUIFont Regular"/>
          <w:szCs w:val="18"/>
          <w:lang w:val="en-GB"/>
        </w:rPr>
        <w:t>Fakultas</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Ilmu</w:t>
      </w:r>
      <w:proofErr w:type="spellEnd"/>
      <w:r w:rsidRPr="003B1C76">
        <w:rPr>
          <w:rFonts w:ascii="Book Antiqua" w:eastAsia=".AppleSystemUIFont Regular" w:hAnsi="Book Antiqua" w:cs=".AppleSystemUIFont Regular"/>
          <w:szCs w:val="18"/>
          <w:lang w:val="en-GB"/>
        </w:rPr>
        <w:t xml:space="preserve"> </w:t>
      </w:r>
      <w:proofErr w:type="spellStart"/>
      <w:r w:rsidRPr="003B1C76">
        <w:rPr>
          <w:rFonts w:ascii="Book Antiqua" w:eastAsia=".AppleSystemUIFont Regular" w:hAnsi="Book Antiqua" w:cs=".AppleSystemUIFont Regular"/>
          <w:szCs w:val="18"/>
          <w:lang w:val="en-GB"/>
        </w:rPr>
        <w:t>Budaya</w:t>
      </w:r>
      <w:proofErr w:type="spellEnd"/>
      <w:r w:rsidRPr="003B1C76">
        <w:rPr>
          <w:rFonts w:ascii="Book Antiqua" w:eastAsia=".AppleSystemUIFont Regular" w:hAnsi="Book Antiqua" w:cs=".AppleSystemUIFont Regular"/>
          <w:szCs w:val="18"/>
          <w:lang w:val="en-GB"/>
        </w:rPr>
        <w:t xml:space="preserve">, Universitas Gadjah </w:t>
      </w:r>
      <w:proofErr w:type="spellStart"/>
      <w:r w:rsidRPr="003B1C76">
        <w:rPr>
          <w:rFonts w:ascii="Book Antiqua" w:eastAsia=".AppleSystemUIFont Regular" w:hAnsi="Book Antiqua" w:cs=".AppleSystemUIFont Regular"/>
          <w:szCs w:val="18"/>
          <w:lang w:val="en-GB"/>
        </w:rPr>
        <w:t>Mada</w:t>
      </w:r>
      <w:proofErr w:type="spellEnd"/>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szCs w:val="18"/>
          <w:lang w:val="en-GB"/>
        </w:rPr>
        <w:t>Unpublished manuscript</w:t>
      </w:r>
      <w:r w:rsidRPr="003B1C76">
        <w:rPr>
          <w:rFonts w:ascii="Book Antiqua" w:eastAsia=".AppleSystemUIFont Regular" w:hAnsi="Book Antiqua" w:cs=".AppleSystemUIFont Regular"/>
          <w:szCs w:val="18"/>
          <w:lang w:val="en-GB"/>
        </w:rPr>
        <w:t>.</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Swain, M. B. (1993). Women producers of ethnic arts.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20</w:t>
      </w:r>
      <w:r w:rsidRPr="003B1C76">
        <w:rPr>
          <w:rFonts w:ascii="Book Antiqua" w:eastAsia=".AppleSystemUIFont Regular" w:hAnsi="Book Antiqua" w:cs=".AppleSystemUIFont Regular"/>
          <w:szCs w:val="18"/>
          <w:lang w:val="en-GB"/>
        </w:rPr>
        <w:t>(1), 32–51.</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Swain, M. B. (1995). Gender in tourism.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 22(2), 247–266.</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lastRenderedPageBreak/>
        <w:t>Tajeddini</w:t>
      </w:r>
      <w:proofErr w:type="spellEnd"/>
      <w:r w:rsidRPr="003B1C76">
        <w:rPr>
          <w:rFonts w:ascii="Book Antiqua" w:eastAsia=".AppleSystemUIFont Regular" w:hAnsi="Book Antiqua" w:cs=".AppleSystemUIFont Regular"/>
          <w:szCs w:val="18"/>
          <w:lang w:val="en-GB"/>
        </w:rPr>
        <w:t xml:space="preserve">, K., </w:t>
      </w:r>
      <w:proofErr w:type="spellStart"/>
      <w:r w:rsidRPr="003B1C76">
        <w:rPr>
          <w:rFonts w:ascii="Book Antiqua" w:eastAsia=".AppleSystemUIFont Regular" w:hAnsi="Book Antiqua" w:cs=".AppleSystemUIFont Regular"/>
          <w:szCs w:val="18"/>
          <w:lang w:val="en-GB"/>
        </w:rPr>
        <w:t>Walle</w:t>
      </w:r>
      <w:proofErr w:type="spellEnd"/>
      <w:r w:rsidRPr="003B1C76">
        <w:rPr>
          <w:rFonts w:ascii="Book Antiqua" w:eastAsia=".AppleSystemUIFont Regular" w:hAnsi="Book Antiqua" w:cs=".AppleSystemUIFont Regular"/>
          <w:szCs w:val="18"/>
          <w:lang w:val="en-GB"/>
        </w:rPr>
        <w:t xml:space="preserve">, A. H., &amp; </w:t>
      </w:r>
      <w:proofErr w:type="spellStart"/>
      <w:r w:rsidRPr="003B1C76">
        <w:rPr>
          <w:rFonts w:ascii="Book Antiqua" w:eastAsia=".AppleSystemUIFont Regular" w:hAnsi="Book Antiqua" w:cs=".AppleSystemUIFont Regular"/>
          <w:szCs w:val="18"/>
          <w:lang w:val="en-GB"/>
        </w:rPr>
        <w:t>Denisa</w:t>
      </w:r>
      <w:proofErr w:type="spellEnd"/>
      <w:r w:rsidRPr="003B1C76">
        <w:rPr>
          <w:rFonts w:ascii="Book Antiqua" w:eastAsia=".AppleSystemUIFont Regular" w:hAnsi="Book Antiqua" w:cs=".AppleSystemUIFont Regular"/>
          <w:szCs w:val="18"/>
          <w:lang w:val="en-GB"/>
        </w:rPr>
        <w:t xml:space="preserve">, M. (2017). Enterprising women, tourism, and development: the case of Bali. </w:t>
      </w:r>
      <w:r w:rsidRPr="003B1C76">
        <w:rPr>
          <w:rFonts w:ascii="Book Antiqua" w:eastAsia=".AppleSystemUIFont Regular" w:hAnsi="Book Antiqua" w:cs=".AppleSystemUIFont Regular"/>
          <w:i/>
          <w:szCs w:val="18"/>
          <w:lang w:val="en-GB"/>
        </w:rPr>
        <w:t>International Journal of Hospitality and Tourism Administration</w:t>
      </w:r>
      <w:r w:rsidRPr="003B1C76">
        <w:rPr>
          <w:rFonts w:ascii="Book Antiqua" w:eastAsia=".AppleSystemUIFont Regular" w:hAnsi="Book Antiqua" w:cs=".AppleSystemUIFont Regular"/>
          <w:szCs w:val="18"/>
          <w:lang w:val="en-GB"/>
        </w:rPr>
        <w:t xml:space="preserve">. </w:t>
      </w:r>
      <w:hyperlink r:id="rId89" w:history="1">
        <w:r w:rsidRPr="003B1C76">
          <w:rPr>
            <w:rStyle w:val="16"/>
            <w:rFonts w:ascii="Book Antiqua" w:eastAsia=".AppleSystemUIFont Regular" w:hAnsi="Book Antiqua" w:cs=".AppleSystemUIFont Regular"/>
            <w:szCs w:val="18"/>
            <w:lang w:val="en-GB"/>
          </w:rPr>
          <w:t>https://doi.org/http://dx.doi.org/10.1080/15256480.2016.1264906</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Tremblay-</w:t>
      </w:r>
      <w:proofErr w:type="spellStart"/>
      <w:r w:rsidRPr="003B1C76">
        <w:rPr>
          <w:rFonts w:ascii="Book Antiqua" w:eastAsia=".AppleSystemUIFont Regular" w:hAnsi="Book Antiqua" w:cs=".AppleSystemUIFont Regular"/>
          <w:szCs w:val="18"/>
          <w:lang w:val="en-GB"/>
        </w:rPr>
        <w:t>Huet</w:t>
      </w:r>
      <w:proofErr w:type="spellEnd"/>
      <w:r w:rsidRPr="003B1C76">
        <w:rPr>
          <w:rFonts w:ascii="Book Antiqua" w:eastAsia=".AppleSystemUIFont Regular" w:hAnsi="Book Antiqua" w:cs=".AppleSystemUIFont Regular"/>
          <w:szCs w:val="18"/>
          <w:lang w:val="en-GB"/>
        </w:rPr>
        <w:t xml:space="preserve">, S. (2020). COVID-19 leads to a new context for the “right to tourism”: a reset of tourists’ perspectives on space appropriation is needed. </w:t>
      </w:r>
      <w:r w:rsidRPr="003B1C76">
        <w:rPr>
          <w:rFonts w:ascii="Book Antiqua" w:eastAsia=".AppleSystemUIFont Regular" w:hAnsi="Book Antiqua" w:cs=".AppleSystemUIFont Regular"/>
          <w:i/>
          <w:szCs w:val="18"/>
          <w:lang w:val="en-GB"/>
        </w:rPr>
        <w:t>Tourism Geographies</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22</w:t>
      </w:r>
      <w:r w:rsidRPr="003B1C76">
        <w:rPr>
          <w:rFonts w:ascii="Book Antiqua" w:eastAsia=".AppleSystemUIFont Regular" w:hAnsi="Book Antiqua" w:cs=".AppleSystemUIFont Regular"/>
          <w:szCs w:val="18"/>
          <w:lang w:val="en-GB"/>
        </w:rPr>
        <w:t xml:space="preserve">(3), 720–723. </w:t>
      </w:r>
      <w:hyperlink r:id="rId90" w:history="1">
        <w:r w:rsidRPr="003B1C76">
          <w:rPr>
            <w:rStyle w:val="16"/>
            <w:rFonts w:ascii="Book Antiqua" w:eastAsia=".AppleSystemUIFont Regular" w:hAnsi="Book Antiqua" w:cs=".AppleSystemUIFont Regular"/>
            <w:szCs w:val="18"/>
            <w:lang w:val="en-GB"/>
          </w:rPr>
          <w:t>https://doi.org/10.1080/14616688.2020.1759136</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Trupp</w:t>
      </w:r>
      <w:proofErr w:type="spellEnd"/>
      <w:r w:rsidRPr="003B1C76">
        <w:rPr>
          <w:rFonts w:ascii="Book Antiqua" w:eastAsia=".AppleSystemUIFont Regular" w:hAnsi="Book Antiqua" w:cs=".AppleSystemUIFont Regular"/>
          <w:szCs w:val="18"/>
          <w:lang w:val="en-GB"/>
        </w:rPr>
        <w:t xml:space="preserve">, A., Dolezal, C., &amp; Bui, H. T. (2020). Mapping tourism, sustainability, and development in Southeast Asia. In </w:t>
      </w:r>
      <w:r w:rsidRPr="003B1C76">
        <w:rPr>
          <w:rFonts w:ascii="Book Antiqua" w:eastAsia=".AppleSystemUIFont Regular" w:hAnsi="Book Antiqua" w:cs=".AppleSystemUIFont Regular"/>
          <w:i/>
          <w:szCs w:val="18"/>
          <w:lang w:val="en-GB"/>
        </w:rPr>
        <w:t>Tourism and development in Southeast Asia</w:t>
      </w:r>
      <w:r w:rsidRPr="003B1C76">
        <w:rPr>
          <w:rFonts w:ascii="Book Antiqua" w:eastAsia=".AppleSystemUIFont Regular" w:hAnsi="Book Antiqua" w:cs=".AppleSystemUIFont Regular"/>
          <w:szCs w:val="18"/>
          <w:lang w:val="en-GB"/>
        </w:rPr>
        <w:t xml:space="preserve"> (pp. 3-22). Routledge.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Ulak</w:t>
      </w:r>
      <w:proofErr w:type="spellEnd"/>
      <w:r w:rsidRPr="003B1C76">
        <w:rPr>
          <w:rFonts w:ascii="Book Antiqua" w:eastAsia=".AppleSystemUIFont Regular" w:hAnsi="Book Antiqua" w:cs=".AppleSystemUIFont Regular"/>
          <w:szCs w:val="18"/>
          <w:lang w:val="en-GB"/>
        </w:rPr>
        <w:t xml:space="preserve">, N. (2020). COVID-19 Pandemic and its impact on tourism industry in Nepal. </w:t>
      </w:r>
      <w:r w:rsidRPr="003B1C76">
        <w:rPr>
          <w:rFonts w:ascii="Book Antiqua" w:eastAsia=".AppleSystemUIFont Regular" w:hAnsi="Book Antiqua" w:cs=".AppleSystemUIFont Regular"/>
          <w:i/>
          <w:szCs w:val="18"/>
          <w:lang w:val="en-GB"/>
        </w:rPr>
        <w:t>Journal of Tourism &amp; Adventure</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3</w:t>
      </w:r>
      <w:r w:rsidRPr="003B1C76">
        <w:rPr>
          <w:rFonts w:ascii="Book Antiqua" w:eastAsia=".AppleSystemUIFont Regular" w:hAnsi="Book Antiqua" w:cs=".AppleSystemUIFont Regular"/>
          <w:szCs w:val="18"/>
          <w:lang w:val="en-GB"/>
        </w:rPr>
        <w:t xml:space="preserve">(1), 50–75. </w:t>
      </w:r>
      <w:hyperlink r:id="rId91" w:history="1">
        <w:r w:rsidRPr="003B1C76">
          <w:rPr>
            <w:rStyle w:val="16"/>
            <w:rFonts w:ascii="Book Antiqua" w:eastAsia=".AppleSystemUIFont Regular" w:hAnsi="Book Antiqua" w:cs=".AppleSystemUIFont Regular"/>
            <w:szCs w:val="18"/>
            <w:lang w:val="en-GB"/>
          </w:rPr>
          <w:t>https://doi.org/10.3126/jota.v3i1.31356</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UNWTO. (2021). UNWTO announces list of ‘Best Tourism Villages’ 2021. </w:t>
      </w:r>
      <w:hyperlink r:id="rId92" w:history="1">
        <w:r w:rsidRPr="003B1C76">
          <w:rPr>
            <w:rStyle w:val="17"/>
            <w:rFonts w:ascii="Book Antiqua" w:eastAsia=".AppleSystemUIFont Regular" w:hAnsi="Book Antiqua" w:cs=".AppleSystemUIFont Regular" w:hint="default"/>
            <w:szCs w:val="18"/>
            <w:lang w:val="en-GB"/>
          </w:rPr>
          <w:t>https://www.unwto.org/news/unwto-announces-list-of-best-tourism-villages-</w:t>
        </w:r>
      </w:hyperlink>
      <w:r w:rsidRPr="003B1C76">
        <w:rPr>
          <w:rFonts w:ascii="Book Antiqua" w:eastAsia=".AppleSystemUIFont Regular" w:hAnsi="Book Antiqua" w:cs=".AppleSystemUIFont Regular"/>
          <w:szCs w:val="18"/>
          <w:lang w:val="en-GB"/>
        </w:rPr>
        <w:t xml:space="preserve"> 2021 (accessed 20 January 2022).</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Weaver, D. (2011). Can sustainable tourism survive climate change? </w:t>
      </w:r>
      <w:r w:rsidRPr="003B1C76">
        <w:rPr>
          <w:rFonts w:ascii="Book Antiqua" w:eastAsia=".AppleSystemUIFont Regular" w:hAnsi="Book Antiqua" w:cs=".AppleSystemUIFont Regular"/>
          <w:i/>
          <w:iCs/>
          <w:szCs w:val="18"/>
          <w:lang w:val="en-GB"/>
        </w:rPr>
        <w:t>Journal of Sustainable Tourism</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19</w:t>
      </w:r>
      <w:r w:rsidRPr="003B1C76">
        <w:rPr>
          <w:rFonts w:ascii="Book Antiqua" w:eastAsia=".AppleSystemUIFont Regular" w:hAnsi="Book Antiqua" w:cs=".AppleSystemUIFont Regular"/>
          <w:szCs w:val="18"/>
          <w:lang w:val="en-GB"/>
        </w:rPr>
        <w:t xml:space="preserve">(1), 5–15. </w:t>
      </w:r>
      <w:hyperlink r:id="rId93" w:history="1">
        <w:r w:rsidRPr="003B1C76">
          <w:rPr>
            <w:rStyle w:val="16"/>
            <w:rFonts w:ascii="Book Antiqua" w:eastAsia=".AppleSystemUIFont Regular" w:hAnsi="Book Antiqua" w:cs=".AppleSystemUIFont Regular"/>
            <w:szCs w:val="18"/>
            <w:lang w:val="en-GB"/>
          </w:rPr>
          <w:t>https://doi.org/10.1080/09669582.2010.536242</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Westwood, S., Pritchard, A., &amp; Morgan, N. J. (2000). Gender-blind marketing: Businesswomen’s perceptions of airline services. </w:t>
      </w:r>
      <w:r w:rsidRPr="003B1C76">
        <w:rPr>
          <w:rFonts w:ascii="Book Antiqua" w:eastAsia=".AppleSystemUIFont Regular" w:hAnsi="Book Antiqua" w:cs=".AppleSystemUIFont Regular"/>
          <w:i/>
          <w:szCs w:val="18"/>
          <w:lang w:val="en-GB"/>
        </w:rPr>
        <w:t>Tourism Management</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21</w:t>
      </w:r>
      <w:r w:rsidRPr="003B1C76">
        <w:rPr>
          <w:rFonts w:ascii="Book Antiqua" w:eastAsia=".AppleSystemUIFont Regular" w:hAnsi="Book Antiqua" w:cs=".AppleSystemUIFont Regular"/>
          <w:szCs w:val="18"/>
          <w:lang w:val="en-GB"/>
        </w:rPr>
        <w:t xml:space="preserve">(4), 353–362. </w:t>
      </w:r>
      <w:hyperlink r:id="rId94" w:history="1">
        <w:r w:rsidRPr="003B1C76">
          <w:rPr>
            <w:rStyle w:val="16"/>
            <w:rFonts w:ascii="Book Antiqua" w:eastAsia=".AppleSystemUIFont Regular" w:hAnsi="Book Antiqua" w:cs=".AppleSystemUIFont Regular"/>
            <w:szCs w:val="18"/>
            <w:lang w:val="en-GB"/>
          </w:rPr>
          <w:t>https://doi.org/10.1016/S0261-5177(99)00069-2</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Wilkinson, P. F., &amp; </w:t>
      </w:r>
      <w:proofErr w:type="spellStart"/>
      <w:r w:rsidRPr="003B1C76">
        <w:rPr>
          <w:rFonts w:ascii="Book Antiqua" w:eastAsia=".AppleSystemUIFont Regular" w:hAnsi="Book Antiqua" w:cs=".AppleSystemUIFont Regular"/>
          <w:szCs w:val="18"/>
          <w:lang w:val="en-GB"/>
        </w:rPr>
        <w:t>Pratiwi</w:t>
      </w:r>
      <w:proofErr w:type="spellEnd"/>
      <w:r w:rsidRPr="003B1C76">
        <w:rPr>
          <w:rFonts w:ascii="Book Antiqua" w:eastAsia=".AppleSystemUIFont Regular" w:hAnsi="Book Antiqua" w:cs=".AppleSystemUIFont Regular"/>
          <w:szCs w:val="18"/>
          <w:lang w:val="en-GB"/>
        </w:rPr>
        <w:t xml:space="preserve">, W. (1995). Gender and tourism in an Indonesian village. </w:t>
      </w:r>
      <w:r w:rsidRPr="003B1C76">
        <w:rPr>
          <w:rFonts w:ascii="Book Antiqua" w:eastAsia=".AppleSystemUIFont Regular" w:hAnsi="Book Antiqua" w:cs=".AppleSystemUIFont Regular"/>
          <w:i/>
          <w:szCs w:val="18"/>
          <w:lang w:val="en-GB"/>
        </w:rPr>
        <w:t>Annals of Tourism Research</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22</w:t>
      </w:r>
      <w:r w:rsidRPr="003B1C76">
        <w:rPr>
          <w:rFonts w:ascii="Book Antiqua" w:eastAsia=".AppleSystemUIFont Regular" w:hAnsi="Book Antiqua" w:cs=".AppleSystemUIFont Regular"/>
          <w:szCs w:val="18"/>
          <w:lang w:val="en-GB"/>
        </w:rPr>
        <w:t>(2), 283–299.</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Wilson, E., &amp; Little, D. E. (2008). The solo female travel experience: Exploring the “geography of women’s fear.” </w:t>
      </w:r>
      <w:r w:rsidRPr="003B1C76">
        <w:rPr>
          <w:rFonts w:ascii="Book Antiqua" w:eastAsia=".AppleSystemUIFont Regular" w:hAnsi="Book Antiqua" w:cs=".AppleSystemUIFont Regular"/>
          <w:i/>
          <w:szCs w:val="18"/>
          <w:lang w:val="en-GB"/>
        </w:rPr>
        <w:t>Current Issues in Tourism</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11</w:t>
      </w:r>
      <w:r w:rsidRPr="003B1C76">
        <w:rPr>
          <w:rFonts w:ascii="Book Antiqua" w:eastAsia=".AppleSystemUIFont Regular" w:hAnsi="Book Antiqua" w:cs=".AppleSystemUIFont Regular"/>
          <w:szCs w:val="18"/>
          <w:lang w:val="en-GB"/>
        </w:rPr>
        <w:t xml:space="preserve">(2), 167–186. </w:t>
      </w:r>
      <w:hyperlink r:id="rId95" w:history="1">
        <w:r w:rsidRPr="003B1C76">
          <w:rPr>
            <w:rStyle w:val="16"/>
            <w:rFonts w:ascii="Book Antiqua" w:eastAsia=".AppleSystemUIFont Regular" w:hAnsi="Book Antiqua" w:cs=".AppleSystemUIFont Regular"/>
            <w:szCs w:val="18"/>
            <w:lang w:val="en-GB"/>
          </w:rPr>
          <w:t>https://doi.org/10.2167/cit342.0</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Wilson, S., </w:t>
      </w:r>
      <w:proofErr w:type="spellStart"/>
      <w:r w:rsidRPr="003B1C76">
        <w:rPr>
          <w:rFonts w:ascii="Book Antiqua" w:eastAsia=".AppleSystemUIFont Regular" w:hAnsi="Book Antiqua" w:cs=".AppleSystemUIFont Regular"/>
          <w:szCs w:val="18"/>
          <w:lang w:val="en-GB"/>
        </w:rPr>
        <w:t>Fesenmaier</w:t>
      </w:r>
      <w:proofErr w:type="spellEnd"/>
      <w:r w:rsidRPr="003B1C76">
        <w:rPr>
          <w:rFonts w:ascii="Book Antiqua" w:eastAsia=".AppleSystemUIFont Regular" w:hAnsi="Book Antiqua" w:cs=".AppleSystemUIFont Regular"/>
          <w:szCs w:val="18"/>
          <w:lang w:val="en-GB"/>
        </w:rPr>
        <w:t xml:space="preserve">, D. R., </w:t>
      </w:r>
      <w:proofErr w:type="spellStart"/>
      <w:r w:rsidRPr="003B1C76">
        <w:rPr>
          <w:rFonts w:ascii="Book Antiqua" w:eastAsia=".AppleSystemUIFont Regular" w:hAnsi="Book Antiqua" w:cs=".AppleSystemUIFont Regular"/>
          <w:szCs w:val="18"/>
          <w:lang w:val="en-GB"/>
        </w:rPr>
        <w:t>Fesenmaier</w:t>
      </w:r>
      <w:proofErr w:type="spellEnd"/>
      <w:r w:rsidRPr="003B1C76">
        <w:rPr>
          <w:rFonts w:ascii="Book Antiqua" w:eastAsia=".AppleSystemUIFont Regular" w:hAnsi="Book Antiqua" w:cs=".AppleSystemUIFont Regular"/>
          <w:szCs w:val="18"/>
          <w:lang w:val="en-GB"/>
        </w:rPr>
        <w:t xml:space="preserve">, J., &amp; Van Es, J. C. (2001). Factors for success in rural tourism development. </w:t>
      </w:r>
      <w:r w:rsidRPr="003B1C76">
        <w:rPr>
          <w:rFonts w:ascii="Book Antiqua" w:eastAsia=".AppleSystemUIFont Regular" w:hAnsi="Book Antiqua" w:cs=".AppleSystemUIFont Regular"/>
          <w:i/>
          <w:iCs/>
          <w:szCs w:val="18"/>
          <w:lang w:val="en-GB"/>
        </w:rPr>
        <w:t>Journal of Travel Research</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40</w:t>
      </w:r>
      <w:r w:rsidRPr="003B1C76">
        <w:rPr>
          <w:rFonts w:ascii="Book Antiqua" w:eastAsia=".AppleSystemUIFont Regular" w:hAnsi="Book Antiqua" w:cs=".AppleSystemUIFont Regular"/>
          <w:szCs w:val="18"/>
          <w:lang w:val="en-GB"/>
        </w:rPr>
        <w:t xml:space="preserve">(2), 132–138. </w:t>
      </w:r>
      <w:hyperlink r:id="rId96" w:history="1">
        <w:r w:rsidRPr="003B1C76">
          <w:rPr>
            <w:rStyle w:val="16"/>
            <w:rFonts w:ascii="Book Antiqua" w:eastAsia=".AppleSystemUIFont Regular" w:hAnsi="Book Antiqua" w:cs=".AppleSystemUIFont Regular"/>
            <w:szCs w:val="18"/>
            <w:lang w:val="en-GB"/>
          </w:rPr>
          <w:t>https://doi.org/10.1177/004728750104000203</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r w:rsidRPr="003B1C76">
        <w:rPr>
          <w:rFonts w:ascii="Book Antiqua" w:eastAsia=".AppleSystemUIFont Regular" w:hAnsi="Book Antiqua" w:cs=".AppleSystemUIFont Regular"/>
          <w:szCs w:val="18"/>
          <w:lang w:val="en-GB"/>
        </w:rPr>
        <w:t xml:space="preserve">Yu, S. W. K., Chau, C. M. R., &amp; </w:t>
      </w:r>
      <w:proofErr w:type="spellStart"/>
      <w:r w:rsidRPr="003B1C76">
        <w:rPr>
          <w:rFonts w:ascii="Book Antiqua" w:eastAsia=".AppleSystemUIFont Regular" w:hAnsi="Book Antiqua" w:cs=".AppleSystemUIFont Regular"/>
          <w:szCs w:val="18"/>
          <w:lang w:val="en-GB"/>
        </w:rPr>
        <w:t>Kühner</w:t>
      </w:r>
      <w:proofErr w:type="spellEnd"/>
      <w:r w:rsidRPr="003B1C76">
        <w:rPr>
          <w:rFonts w:ascii="Book Antiqua" w:eastAsia=".AppleSystemUIFont Regular" w:hAnsi="Book Antiqua" w:cs=".AppleSystemUIFont Regular"/>
          <w:szCs w:val="18"/>
          <w:lang w:val="en-GB"/>
        </w:rPr>
        <w:t xml:space="preserve">, S. (2019). </w:t>
      </w:r>
      <w:proofErr w:type="spellStart"/>
      <w:r w:rsidRPr="003B1C76">
        <w:rPr>
          <w:rFonts w:ascii="Book Antiqua" w:eastAsia=".AppleSystemUIFont Regular" w:hAnsi="Book Antiqua" w:cs=".AppleSystemUIFont Regular"/>
          <w:szCs w:val="18"/>
          <w:lang w:val="en-GB"/>
        </w:rPr>
        <w:t>Defamilisation</w:t>
      </w:r>
      <w:proofErr w:type="spellEnd"/>
      <w:r w:rsidRPr="003B1C76">
        <w:rPr>
          <w:rFonts w:ascii="Book Antiqua" w:eastAsia=".AppleSystemUIFont Regular" w:hAnsi="Book Antiqua" w:cs=".AppleSystemUIFont Regular"/>
          <w:szCs w:val="18"/>
          <w:lang w:val="en-GB"/>
        </w:rPr>
        <w:t xml:space="preserve"> and </w:t>
      </w:r>
      <w:proofErr w:type="spellStart"/>
      <w:r w:rsidRPr="003B1C76">
        <w:rPr>
          <w:rFonts w:ascii="Book Antiqua" w:eastAsia=".AppleSystemUIFont Regular" w:hAnsi="Book Antiqua" w:cs=".AppleSystemUIFont Regular"/>
          <w:szCs w:val="18"/>
          <w:lang w:val="en-GB"/>
        </w:rPr>
        <w:t>familisation</w:t>
      </w:r>
      <w:proofErr w:type="spellEnd"/>
      <w:r w:rsidRPr="003B1C76">
        <w:rPr>
          <w:rFonts w:ascii="Book Antiqua" w:eastAsia=".AppleSystemUIFont Regular" w:hAnsi="Book Antiqua" w:cs=".AppleSystemUIFont Regular"/>
          <w:szCs w:val="18"/>
          <w:lang w:val="en-GB"/>
        </w:rPr>
        <w:t xml:space="preserve"> risks, adult worker models, and pro-employment/decommodification measures for women: The case of Hong Kong. </w:t>
      </w:r>
      <w:r w:rsidRPr="003B1C76">
        <w:rPr>
          <w:rFonts w:ascii="Book Antiqua" w:eastAsia=".AppleSystemUIFont Regular" w:hAnsi="Book Antiqua" w:cs=".AppleSystemUIFont Regular"/>
          <w:i/>
          <w:szCs w:val="18"/>
          <w:lang w:val="en-GB"/>
        </w:rPr>
        <w:t>Journal of International and Comparative Social Policy</w:t>
      </w:r>
      <w:r w:rsidRPr="003B1C76">
        <w:rPr>
          <w:rFonts w:ascii="Book Antiqua" w:eastAsia=".AppleSystemUIFont Regular" w:hAnsi="Book Antiqua" w:cs=".AppleSystemUIFont Regular"/>
          <w:szCs w:val="18"/>
          <w:lang w:val="en-GB"/>
        </w:rPr>
        <w:t xml:space="preserve">, </w:t>
      </w:r>
      <w:r w:rsidRPr="003B1C76">
        <w:rPr>
          <w:rFonts w:ascii="Book Antiqua" w:eastAsia=".AppleSystemUIFont Regular" w:hAnsi="Book Antiqua" w:cs=".AppleSystemUIFont Regular"/>
          <w:i/>
          <w:iCs/>
          <w:szCs w:val="18"/>
          <w:lang w:val="en-GB"/>
        </w:rPr>
        <w:t>35</w:t>
      </w:r>
      <w:r w:rsidRPr="003B1C76">
        <w:rPr>
          <w:rFonts w:ascii="Book Antiqua" w:eastAsia=".AppleSystemUIFont Regular" w:hAnsi="Book Antiqua" w:cs=".AppleSystemUIFont Regular"/>
          <w:szCs w:val="18"/>
          <w:lang w:val="en-GB"/>
        </w:rPr>
        <w:t xml:space="preserve">(2), 194–210. </w:t>
      </w:r>
      <w:hyperlink r:id="rId97" w:history="1">
        <w:r w:rsidRPr="003B1C76">
          <w:rPr>
            <w:rStyle w:val="16"/>
            <w:rFonts w:ascii="Book Antiqua" w:eastAsia=".AppleSystemUIFont Regular" w:hAnsi="Book Antiqua" w:cs=".AppleSystemUIFont Regular"/>
            <w:szCs w:val="18"/>
            <w:lang w:val="en-GB"/>
          </w:rPr>
          <w:t>https://doi.org/10.1080/21699763.2018.1526699</w:t>
        </w:r>
      </w:hyperlink>
      <w:r w:rsidRPr="003B1C76">
        <w:rPr>
          <w:rFonts w:ascii="Book Antiqua" w:eastAsia=".AppleSystemUIFont Regular" w:hAnsi="Book Antiqua" w:cs=".AppleSystemUIFont Regular"/>
          <w:szCs w:val="18"/>
          <w:lang w:val="en-GB"/>
        </w:rPr>
        <w:t xml:space="preserve">. </w:t>
      </w:r>
    </w:p>
    <w:p w:rsidR="002D55B0" w:rsidRPr="003B1C76" w:rsidRDefault="002D55B0" w:rsidP="002D55B0">
      <w:pPr>
        <w:spacing w:line="240" w:lineRule="auto"/>
        <w:ind w:left="720" w:hanging="720"/>
        <w:rPr>
          <w:rFonts w:ascii="Book Antiqua" w:eastAsia=".AppleSystemUIFont Regular" w:hAnsi="Book Antiqua" w:cs=".AppleSystemUIFont Regular"/>
          <w:szCs w:val="18"/>
          <w:lang w:val="en-GB"/>
        </w:rPr>
      </w:pPr>
      <w:proofErr w:type="spellStart"/>
      <w:r w:rsidRPr="003B1C76">
        <w:rPr>
          <w:rFonts w:ascii="Book Antiqua" w:eastAsia=".AppleSystemUIFont Regular" w:hAnsi="Book Antiqua" w:cs=".AppleSystemUIFont Regular"/>
          <w:szCs w:val="18"/>
          <w:lang w:val="en-GB"/>
        </w:rPr>
        <w:t>Yuda</w:t>
      </w:r>
      <w:proofErr w:type="spellEnd"/>
      <w:r w:rsidRPr="003B1C76">
        <w:rPr>
          <w:rFonts w:ascii="Book Antiqua" w:eastAsia=".AppleSystemUIFont Regular" w:hAnsi="Book Antiqua" w:cs=".AppleSystemUIFont Regular"/>
          <w:szCs w:val="18"/>
          <w:lang w:val="en-GB"/>
        </w:rPr>
        <w:t xml:space="preserve">, T. K., &amp; </w:t>
      </w:r>
      <w:proofErr w:type="spellStart"/>
      <w:r w:rsidRPr="003B1C76">
        <w:rPr>
          <w:rFonts w:ascii="Book Antiqua" w:eastAsia=".AppleSystemUIFont Regular" w:hAnsi="Book Antiqua" w:cs=".AppleSystemUIFont Regular"/>
          <w:szCs w:val="18"/>
          <w:lang w:val="en-GB"/>
        </w:rPr>
        <w:t>Rezza</w:t>
      </w:r>
      <w:proofErr w:type="spellEnd"/>
      <w:r w:rsidRPr="003B1C76">
        <w:rPr>
          <w:rFonts w:ascii="Book Antiqua" w:eastAsia=".AppleSystemUIFont Regular" w:hAnsi="Book Antiqua" w:cs=".AppleSystemUIFont Regular"/>
          <w:szCs w:val="18"/>
          <w:lang w:val="en-GB"/>
        </w:rPr>
        <w:t>, M. (2021). The forms of decommodification and (de)</w:t>
      </w:r>
      <w:proofErr w:type="spellStart"/>
      <w:r w:rsidRPr="003B1C76">
        <w:rPr>
          <w:rFonts w:ascii="Book Antiqua" w:eastAsia=".AppleSystemUIFont Regular" w:hAnsi="Book Antiqua" w:cs=".AppleSystemUIFont Regular"/>
          <w:szCs w:val="18"/>
          <w:lang w:val="en-GB"/>
        </w:rPr>
        <w:t>familisation</w:t>
      </w:r>
      <w:proofErr w:type="spellEnd"/>
      <w:r w:rsidRPr="003B1C76">
        <w:rPr>
          <w:rFonts w:ascii="Book Antiqua" w:eastAsia=".AppleSystemUIFont Regular" w:hAnsi="Book Antiqua" w:cs=".AppleSystemUIFont Regular"/>
          <w:szCs w:val="18"/>
          <w:lang w:val="en-GB"/>
        </w:rPr>
        <w:t xml:space="preserve"> measures during COVID</w:t>
      </w:r>
      <w:r w:rsidRPr="003B1C76">
        <w:rPr>
          <w:rFonts w:ascii="Cambria Math" w:eastAsia=".AppleSystemUIFont Regular" w:hAnsi="Cambria Math" w:cs="Cambria Math"/>
          <w:szCs w:val="18"/>
          <w:lang w:val="en-GB"/>
        </w:rPr>
        <w:t>‐</w:t>
      </w:r>
      <w:r w:rsidRPr="003B1C76">
        <w:rPr>
          <w:rFonts w:ascii="Book Antiqua" w:eastAsia=".AppleSystemUIFont Regular" w:hAnsi="Book Antiqua" w:cs=".AppleSystemUIFont Regular"/>
          <w:szCs w:val="18"/>
          <w:lang w:val="en-GB"/>
        </w:rPr>
        <w:t xml:space="preserve">19: What is the impact on female’s welfare? </w:t>
      </w:r>
      <w:r w:rsidRPr="003B1C76">
        <w:rPr>
          <w:rFonts w:ascii="Book Antiqua" w:eastAsia=".AppleSystemUIFont Regular" w:hAnsi="Book Antiqua" w:cs=".AppleSystemUIFont Regular"/>
          <w:i/>
          <w:szCs w:val="18"/>
          <w:lang w:val="en-GB"/>
        </w:rPr>
        <w:t>Public Administration and Development</w:t>
      </w:r>
      <w:r w:rsidRPr="003B1C76">
        <w:rPr>
          <w:rFonts w:ascii="Book Antiqua" w:eastAsia=".AppleSystemUIFont Regular" w:hAnsi="Book Antiqua" w:cs=".AppleSystemUIFont Regular"/>
          <w:szCs w:val="18"/>
          <w:lang w:val="en-GB"/>
        </w:rPr>
        <w:t xml:space="preserve">. </w:t>
      </w:r>
      <w:hyperlink r:id="rId98" w:history="1">
        <w:r w:rsidRPr="003B1C76">
          <w:rPr>
            <w:rStyle w:val="16"/>
            <w:rFonts w:ascii="Book Antiqua" w:eastAsia=".AppleSystemUIFont Regular" w:hAnsi="Book Antiqua" w:cs=".AppleSystemUIFont Regular"/>
            <w:szCs w:val="18"/>
            <w:lang w:val="en-GB"/>
          </w:rPr>
          <w:t>https://doi.org/10.1002/pad.1955</w:t>
        </w:r>
      </w:hyperlink>
      <w:r w:rsidRPr="003B1C76">
        <w:rPr>
          <w:rFonts w:ascii="Book Antiqua" w:eastAsia=".AppleSystemUIFont Regular" w:hAnsi="Book Antiqua" w:cs=".AppleSystemUIFont Regular"/>
          <w:szCs w:val="18"/>
          <w:lang w:val="en-GB"/>
        </w:rPr>
        <w:t xml:space="preserve">. </w:t>
      </w:r>
    </w:p>
    <w:p w:rsidR="002D55B0" w:rsidRDefault="002D55B0" w:rsidP="002D55B0"/>
    <w:p w:rsidR="002D55B0" w:rsidRPr="002D55B0" w:rsidRDefault="002D55B0">
      <w:pPr>
        <w:pStyle w:val="Acknowledgement"/>
        <w:rPr>
          <w:rFonts w:ascii="Book Antiqua" w:hAnsi="Book Antiqua" w:cs="Arial"/>
          <w:b w:val="0"/>
          <w:bCs w:val="0"/>
          <w:sz w:val="20"/>
          <w:szCs w:val="20"/>
          <w:lang w:val="en-GB"/>
        </w:rPr>
      </w:pPr>
    </w:p>
    <w:p w:rsidR="000F4686" w:rsidRDefault="000F4686">
      <w:pPr>
        <w:spacing w:before="120" w:line="240" w:lineRule="auto"/>
        <w:contextualSpacing/>
        <w:rPr>
          <w:rFonts w:ascii="Book Antiqua" w:hAnsi="Book Antiqua"/>
          <w:szCs w:val="22"/>
          <w:lang w:val="en-GB"/>
        </w:rPr>
      </w:pPr>
    </w:p>
    <w:p w:rsidR="000F4686" w:rsidRDefault="000F4686">
      <w:pPr>
        <w:rPr>
          <w:rFonts w:ascii="Arial" w:hAnsi="Arial" w:cs="Arial"/>
          <w:lang w:val="en-GB"/>
        </w:rPr>
      </w:pPr>
    </w:p>
    <w:sectPr w:rsidR="000F4686">
      <w:headerReference w:type="even" r:id="rId99"/>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59A1" w:rsidRDefault="007A59A1">
      <w:pPr>
        <w:spacing w:line="240" w:lineRule="auto"/>
      </w:pPr>
      <w:r>
        <w:separator/>
      </w:r>
    </w:p>
  </w:endnote>
  <w:endnote w:type="continuationSeparator" w:id="0">
    <w:p w:rsidR="007A59A1" w:rsidRDefault="007A59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pleSystemUIFont Regular">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4686" w:rsidRDefault="00000000">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lang w:val="zh-CN"/>
      </w:rPr>
      <w:t>2</w:t>
    </w:r>
    <w:r>
      <w:rPr>
        <w:rStyle w:val="PageNumber"/>
      </w:rPr>
      <w:fldChar w:fldCharType="end"/>
    </w:r>
  </w:p>
  <w:p w:rsidR="000F4686" w:rsidRDefault="00000000">
    <w:pPr>
      <w:pStyle w:val="Footer"/>
      <w:ind w:right="360" w:firstLine="360"/>
    </w:pPr>
    <w:r>
      <w:t>First Author</w:t>
    </w:r>
    <w:r>
      <w:tab/>
    </w:r>
    <w:r>
      <w:tab/>
    </w:r>
    <w:r>
      <w:rPr>
        <w:sz w:val="16"/>
      </w:rPr>
      <w:t>https://doi.org/10.25077/</w:t>
    </w:r>
    <w:r>
      <w:rPr>
        <w:sz w:val="16"/>
      </w:rPr>
      <w:fldChar w:fldCharType="begin"/>
    </w:r>
    <w:r>
      <w:rPr>
        <w:sz w:val="16"/>
      </w:rPr>
      <w:instrText xml:space="preserve"> MACROBUTTON DOI xxxxx </w:instrTex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4686" w:rsidRDefault="00000000">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lang w:val="zh-CN"/>
      </w:rPr>
      <w:t>3</w:t>
    </w:r>
    <w:r>
      <w:rPr>
        <w:rStyle w:val="PageNumber"/>
      </w:rPr>
      <w:fldChar w:fldCharType="end"/>
    </w:r>
  </w:p>
  <w:p w:rsidR="000F4686" w:rsidRDefault="00000000">
    <w:pPr>
      <w:pStyle w:val="Footer"/>
      <w:ind w:right="360" w:firstLine="360"/>
    </w:pPr>
    <w:r>
      <w:rPr>
        <w:sz w:val="16"/>
      </w:rPr>
      <w:t>https://doi.org/10.25077/</w:t>
    </w:r>
    <w:r>
      <w:rPr>
        <w:sz w:val="16"/>
      </w:rPr>
      <w:fldChar w:fldCharType="begin"/>
    </w:r>
    <w:r>
      <w:rPr>
        <w:sz w:val="16"/>
      </w:rPr>
      <w:instrText xml:space="preserve"> MACROBUTTON DOI xxxxx </w:instrText>
    </w:r>
    <w:r>
      <w:rPr>
        <w:sz w:val="16"/>
      </w:rPr>
      <w:fldChar w:fldCharType="end"/>
    </w:r>
    <w:r>
      <w:rPr>
        <w:sz w:val="16"/>
      </w:rPr>
      <w:tab/>
    </w:r>
    <w:r>
      <w:rPr>
        <w:sz w:val="16"/>
      </w:rPr>
      <w:tab/>
    </w:r>
    <w:r>
      <w:t>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4686" w:rsidRDefault="00000000">
    <w:pPr>
      <w:pStyle w:val="Footer"/>
      <w:tabs>
        <w:tab w:val="clear" w:pos="9360"/>
      </w:tabs>
      <w:rPr>
        <w:sz w:val="16"/>
      </w:rPr>
    </w:pPr>
    <w:r>
      <w:rPr>
        <w:sz w:val="16"/>
      </w:rPr>
      <w:t>https://doi.org/10.25077/</w:t>
    </w:r>
    <w:r>
      <w:rPr>
        <w:sz w:val="16"/>
      </w:rPr>
      <w:fldChar w:fldCharType="begin"/>
    </w:r>
    <w:r>
      <w:rPr>
        <w:sz w:val="16"/>
      </w:rPr>
      <w:instrText xml:space="preserve"> MACROBUTTON DOI xxxxx </w:instrText>
    </w:r>
    <w:r>
      <w:rPr>
        <w:sz w:val="16"/>
      </w:rPr>
      <w:fldChar w:fldCharType="end"/>
    </w:r>
    <w:r>
      <w:rPr>
        <w:sz w:val="16"/>
      </w:rPr>
      <w:tab/>
    </w:r>
    <w:r>
      <w:rPr>
        <w:sz w:val="16"/>
      </w:rPr>
      <w:tab/>
    </w:r>
    <w:hyperlink r:id="rId1" w:history="1">
      <w:r>
        <w:rPr>
          <w:rStyle w:val="Hyperlink"/>
          <w:sz w:val="16"/>
        </w:rPr>
        <w:t>Attribution-</w:t>
      </w:r>
      <w:proofErr w:type="spellStart"/>
      <w:r>
        <w:rPr>
          <w:rStyle w:val="Hyperlink"/>
          <w:sz w:val="16"/>
        </w:rPr>
        <w:t>NonCommercial</w:t>
      </w:r>
      <w:proofErr w:type="spellEnd"/>
      <w:r>
        <w:rPr>
          <w:rStyle w:val="Hyperlink"/>
          <w:sz w:val="16"/>
        </w:rPr>
        <w:t xml:space="preserve"> 4.0 International.</w:t>
      </w:r>
    </w:hyperlink>
    <w:r>
      <w:rPr>
        <w:sz w:val="16"/>
      </w:rPr>
      <w:t xml:space="preserve"> 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59A1" w:rsidRDefault="007A59A1">
      <w:r>
        <w:separator/>
      </w:r>
    </w:p>
  </w:footnote>
  <w:footnote w:type="continuationSeparator" w:id="0">
    <w:p w:rsidR="007A59A1" w:rsidRDefault="007A5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4686" w:rsidRDefault="00000000">
    <w:pPr>
      <w:pStyle w:val="Header"/>
      <w:tabs>
        <w:tab w:val="clear" w:pos="4680"/>
        <w:tab w:val="clear" w:pos="9360"/>
      </w:tabs>
      <w:jc w:val="center"/>
    </w:pPr>
    <w:r>
      <w:rPr>
        <w:rFonts w:cs="Times New Roman"/>
        <w:smallCaps/>
        <w:color w:val="808080"/>
        <w:sz w:val="13"/>
        <w:szCs w:val="15"/>
      </w:rPr>
      <w:fldChar w:fldCharType="begin"/>
    </w:r>
    <w:r>
      <w:rPr>
        <w:rFonts w:cs="Times New Roman"/>
        <w:smallCaps/>
        <w:color w:val="808080"/>
        <w:sz w:val="13"/>
        <w:szCs w:val="15"/>
      </w:rPr>
      <w:instrText xml:space="preserve"> PAGE  \* MERGEFORMAT </w:instrText>
    </w:r>
    <w:r>
      <w:rPr>
        <w:rFonts w:cs="Times New Roman"/>
        <w:smallCaps/>
        <w:color w:val="808080"/>
        <w:sz w:val="13"/>
        <w:szCs w:val="15"/>
      </w:rPr>
      <w:fldChar w:fldCharType="separate"/>
    </w:r>
    <w:r>
      <w:rPr>
        <w:rFonts w:cs="Times New Roman"/>
        <w:smallCaps/>
        <w:color w:val="808080"/>
        <w:sz w:val="13"/>
        <w:szCs w:val="15"/>
        <w:lang w:val="zh-CN"/>
      </w:rPr>
      <w:t>2</w:t>
    </w:r>
    <w:r>
      <w:rPr>
        <w:rFonts w:cs="Times New Roman"/>
        <w:smallCaps/>
        <w:color w:val="808080"/>
        <w:sz w:val="13"/>
        <w:szCs w:val="15"/>
      </w:rPr>
      <w:fldChar w:fldCharType="end"/>
    </w:r>
    <w:proofErr w:type="spellStart"/>
    <w:r>
      <w:rPr>
        <w:rFonts w:cs="Times New Roman"/>
        <w:smallCaps/>
        <w:color w:val="808080"/>
        <w:sz w:val="13"/>
        <w:szCs w:val="15"/>
      </w:rPr>
      <w:t>Jurnal</w:t>
    </w:r>
    <w:proofErr w:type="spellEnd"/>
    <w:r>
      <w:rPr>
        <w:rFonts w:cs="Times New Roman"/>
        <w:smallCaps/>
        <w:color w:val="808080"/>
        <w:sz w:val="13"/>
        <w:szCs w:val="15"/>
      </w:rPr>
      <w:t xml:space="preserve"> </w:t>
    </w:r>
    <w:proofErr w:type="spellStart"/>
    <w:r>
      <w:rPr>
        <w:rFonts w:cs="Times New Roman"/>
        <w:smallCaps/>
        <w:color w:val="808080"/>
        <w:sz w:val="13"/>
        <w:szCs w:val="15"/>
      </w:rPr>
      <w:t>Optimasi</w:t>
    </w:r>
    <w:proofErr w:type="spellEnd"/>
    <w:r>
      <w:rPr>
        <w:rFonts w:cs="Times New Roman"/>
        <w:smallCaps/>
        <w:color w:val="808080"/>
        <w:sz w:val="13"/>
        <w:szCs w:val="15"/>
      </w:rPr>
      <w:t xml:space="preserve"> </w:t>
    </w:r>
    <w:proofErr w:type="spellStart"/>
    <w:r>
      <w:rPr>
        <w:rFonts w:cs="Times New Roman"/>
        <w:smallCaps/>
        <w:color w:val="808080"/>
        <w:sz w:val="13"/>
        <w:szCs w:val="15"/>
      </w:rPr>
      <w:t>Sistem</w:t>
    </w:r>
    <w:proofErr w:type="spellEnd"/>
    <w:r>
      <w:rPr>
        <w:rFonts w:cs="Times New Roman"/>
        <w:smallCaps/>
        <w:color w:val="808080"/>
        <w:sz w:val="13"/>
        <w:szCs w:val="15"/>
      </w:rPr>
      <w:t xml:space="preserve"> </w:t>
    </w:r>
    <w:proofErr w:type="spellStart"/>
    <w:r>
      <w:rPr>
        <w:rFonts w:cs="Times New Roman"/>
        <w:smallCaps/>
        <w:color w:val="808080"/>
        <w:sz w:val="13"/>
        <w:szCs w:val="15"/>
      </w:rPr>
      <w:t>Industri</w:t>
    </w:r>
    <w:proofErr w:type="spellEnd"/>
    <w:r>
      <w:rPr>
        <w:rFonts w:cs="Times New Roman"/>
        <w:color w:val="808080"/>
        <w:sz w:val="11"/>
      </w:rPr>
      <w:t xml:space="preserve"> </w:t>
    </w:r>
    <w:r>
      <w:rPr>
        <w:rFonts w:cs="Times New Roman"/>
        <w:color w:val="8080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4686" w:rsidRDefault="00000000">
    <w:pPr>
      <w:pStyle w:val="Header"/>
      <w:jc w:val="center"/>
    </w:pPr>
    <w:r>
      <w:rPr>
        <w:rFonts w:cs="Times New Roman"/>
        <w:smallCaps/>
        <w:color w:val="808080"/>
        <w:sz w:val="13"/>
        <w:szCs w:val="15"/>
      </w:rPr>
      <w:t xml:space="preserve">First Author / </w:t>
    </w:r>
    <w:r>
      <w:rPr>
        <w:rFonts w:cs="Times New Roman"/>
        <w:smallCaps/>
        <w:color w:val="808080"/>
        <w:sz w:val="13"/>
        <w:szCs w:val="13"/>
      </w:rPr>
      <w:t>Journal on Optimizations of Systems at Industries</w:t>
    </w:r>
    <w:r>
      <w:rPr>
        <w:rFonts w:cs="Times New Roman"/>
        <w:smallCaps/>
        <w:color w:val="808080"/>
        <w:sz w:val="13"/>
        <w:szCs w:val="15"/>
      </w:rPr>
      <w:t xml:space="preserve"> - Vol. xx No. xx (2017) 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8" w:type="dxa"/>
      <w:tblLook w:val="04A0" w:firstRow="1" w:lastRow="0" w:firstColumn="1" w:lastColumn="0" w:noHBand="0" w:noVBand="1"/>
    </w:tblPr>
    <w:tblGrid>
      <w:gridCol w:w="1010"/>
      <w:gridCol w:w="6785"/>
      <w:gridCol w:w="2133"/>
    </w:tblGrid>
    <w:tr w:rsidR="000F4686">
      <w:trPr>
        <w:trHeight w:val="276"/>
      </w:trPr>
      <w:tc>
        <w:tcPr>
          <w:tcW w:w="9928" w:type="dxa"/>
          <w:gridSpan w:val="3"/>
          <w:tcBorders>
            <w:bottom w:val="single" w:sz="4" w:space="0" w:color="auto"/>
          </w:tcBorders>
        </w:tcPr>
        <w:p w:rsidR="000F4686" w:rsidRDefault="00000000">
          <w:pPr>
            <w:pStyle w:val="Header"/>
            <w:jc w:val="center"/>
            <w:rPr>
              <w:rFonts w:ascii="Arial" w:hAnsi="Arial" w:cs="Arial"/>
              <w:smallCaps/>
              <w:color w:val="808080"/>
              <w:sz w:val="13"/>
              <w:szCs w:val="13"/>
              <w:lang w:eastAsia="ja-JP"/>
            </w:rPr>
          </w:pPr>
          <w:proofErr w:type="spellStart"/>
          <w:r>
            <w:rPr>
              <w:rFonts w:ascii="Arial" w:hAnsi="Arial" w:cs="Arial"/>
              <w:smallCaps/>
              <w:color w:val="808080"/>
              <w:sz w:val="13"/>
              <w:szCs w:val="13"/>
            </w:rPr>
            <w:t>Jurnal</w:t>
          </w:r>
          <w:proofErr w:type="spellEnd"/>
          <w:r>
            <w:rPr>
              <w:rFonts w:ascii="Arial" w:hAnsi="Arial" w:cs="Arial"/>
              <w:smallCaps/>
              <w:color w:val="808080"/>
              <w:sz w:val="13"/>
              <w:szCs w:val="13"/>
            </w:rPr>
            <w:t xml:space="preserve"> </w:t>
          </w:r>
          <w:proofErr w:type="spellStart"/>
          <w:r>
            <w:rPr>
              <w:rFonts w:ascii="Arial" w:hAnsi="Arial" w:cs="Arial"/>
              <w:smallCaps/>
              <w:color w:val="808080"/>
              <w:sz w:val="13"/>
              <w:szCs w:val="13"/>
            </w:rPr>
            <w:t>Antrop</w:t>
          </w:r>
          <w:r>
            <w:rPr>
              <w:rFonts w:ascii="Arial" w:hAnsi="Arial" w:cs="Arial"/>
              <w:smallCaps/>
              <w:color w:val="808080"/>
              <w:sz w:val="13"/>
              <w:szCs w:val="13"/>
              <w:lang w:eastAsia="ja-JP"/>
            </w:rPr>
            <w:t>ologi</w:t>
          </w:r>
          <w:proofErr w:type="spellEnd"/>
          <w:r>
            <w:rPr>
              <w:rFonts w:ascii="Arial" w:hAnsi="Arial" w:cs="Arial"/>
              <w:smallCaps/>
              <w:color w:val="808080"/>
              <w:sz w:val="13"/>
              <w:szCs w:val="13"/>
              <w:lang w:eastAsia="ja-JP"/>
            </w:rPr>
            <w:t xml:space="preserve">: </w:t>
          </w:r>
          <w:proofErr w:type="spellStart"/>
          <w:r>
            <w:rPr>
              <w:rFonts w:ascii="Arial" w:hAnsi="Arial" w:cs="Arial"/>
              <w:smallCaps/>
              <w:color w:val="808080"/>
              <w:sz w:val="13"/>
              <w:szCs w:val="13"/>
              <w:lang w:eastAsia="ja-JP"/>
            </w:rPr>
            <w:t>isu-isu</w:t>
          </w:r>
          <w:proofErr w:type="spellEnd"/>
          <w:r>
            <w:rPr>
              <w:rFonts w:ascii="Arial" w:hAnsi="Arial" w:cs="Arial"/>
              <w:smallCaps/>
              <w:color w:val="808080"/>
              <w:sz w:val="13"/>
              <w:szCs w:val="13"/>
              <w:lang w:eastAsia="ja-JP"/>
            </w:rPr>
            <w:t xml:space="preserve"> </w:t>
          </w:r>
          <w:proofErr w:type="spellStart"/>
          <w:r>
            <w:rPr>
              <w:rFonts w:ascii="Arial" w:hAnsi="Arial" w:cs="Arial"/>
              <w:smallCaps/>
              <w:color w:val="808080"/>
              <w:sz w:val="13"/>
              <w:szCs w:val="13"/>
              <w:lang w:eastAsia="ja-JP"/>
            </w:rPr>
            <w:t>sosial</w:t>
          </w:r>
          <w:proofErr w:type="spellEnd"/>
          <w:r>
            <w:rPr>
              <w:rFonts w:ascii="Arial" w:hAnsi="Arial" w:cs="Arial"/>
              <w:smallCaps/>
              <w:color w:val="808080"/>
              <w:sz w:val="13"/>
              <w:szCs w:val="13"/>
              <w:lang w:eastAsia="ja-JP"/>
            </w:rPr>
            <w:t xml:space="preserve"> </w:t>
          </w:r>
          <w:proofErr w:type="spellStart"/>
          <w:r>
            <w:rPr>
              <w:rFonts w:ascii="Arial" w:hAnsi="Arial" w:cs="Arial"/>
              <w:smallCaps/>
              <w:color w:val="808080"/>
              <w:sz w:val="13"/>
              <w:szCs w:val="13"/>
              <w:lang w:eastAsia="ja-JP"/>
            </w:rPr>
            <w:t>budaya</w:t>
          </w:r>
          <w:proofErr w:type="spellEnd"/>
          <w:r>
            <w:rPr>
              <w:rFonts w:ascii="Arial" w:hAnsi="Arial" w:cs="Arial"/>
              <w:smallCaps/>
              <w:color w:val="808080"/>
              <w:sz w:val="13"/>
              <w:szCs w:val="13"/>
            </w:rPr>
            <w:t xml:space="preserve"> - Vol. xx No. xx (</w:t>
          </w:r>
          <w:r>
            <w:rPr>
              <w:rFonts w:ascii="Arial" w:hAnsi="Arial" w:cs="Arial" w:hint="eastAsia"/>
              <w:smallCaps/>
              <w:color w:val="808080"/>
              <w:sz w:val="13"/>
              <w:szCs w:val="13"/>
              <w:lang w:eastAsia="ja-JP"/>
            </w:rPr>
            <w:t>month</w:t>
          </w:r>
          <w:r>
            <w:rPr>
              <w:rFonts w:ascii="Arial" w:hAnsi="Arial" w:cs="Arial"/>
              <w:smallCaps/>
              <w:color w:val="808080"/>
              <w:sz w:val="13"/>
              <w:szCs w:val="13"/>
              <w:lang w:eastAsia="ja-JP"/>
            </w:rPr>
            <w:t xml:space="preserve">, </w:t>
          </w:r>
          <w:r>
            <w:rPr>
              <w:rFonts w:ascii="Arial" w:hAnsi="Arial" w:cs="Arial" w:hint="eastAsia"/>
              <w:smallCaps/>
              <w:color w:val="808080"/>
              <w:sz w:val="13"/>
              <w:szCs w:val="13"/>
              <w:lang w:eastAsia="ja-JP"/>
            </w:rPr>
            <w:t>year</w:t>
          </w:r>
          <w:r>
            <w:rPr>
              <w:rFonts w:ascii="Arial" w:hAnsi="Arial" w:cs="Arial"/>
              <w:smallCaps/>
              <w:color w:val="808080"/>
              <w:sz w:val="13"/>
              <w:szCs w:val="13"/>
            </w:rPr>
            <w:t>)</w:t>
          </w:r>
        </w:p>
      </w:tc>
    </w:tr>
    <w:tr w:rsidR="000F4686">
      <w:trPr>
        <w:trHeight w:val="140"/>
      </w:trPr>
      <w:tc>
        <w:tcPr>
          <w:tcW w:w="9928" w:type="dxa"/>
          <w:gridSpan w:val="3"/>
          <w:tcBorders>
            <w:top w:val="single" w:sz="4" w:space="0" w:color="auto"/>
          </w:tcBorders>
        </w:tcPr>
        <w:p w:rsidR="000F4686" w:rsidRDefault="00000000">
          <w:pPr>
            <w:pStyle w:val="Header"/>
            <w:jc w:val="center"/>
            <w:rPr>
              <w:rFonts w:cs="Times New Roman"/>
              <w:color w:val="808080"/>
              <w:sz w:val="13"/>
            </w:rPr>
          </w:pPr>
          <w:r>
            <w:rPr>
              <w:noProof/>
              <w:lang w:val="zh-CN"/>
            </w:rPr>
            <w:drawing>
              <wp:anchor distT="0" distB="0" distL="0" distR="0" simplePos="0" relativeHeight="251659264" behindDoc="0" locked="0" layoutInCell="1" allowOverlap="1">
                <wp:simplePos x="0" y="0"/>
                <wp:positionH relativeFrom="column">
                  <wp:posOffset>-51435</wp:posOffset>
                </wp:positionH>
                <wp:positionV relativeFrom="page">
                  <wp:posOffset>14605</wp:posOffset>
                </wp:positionV>
                <wp:extent cx="569595" cy="795020"/>
                <wp:effectExtent l="0" t="0" r="0" b="0"/>
                <wp:wrapNone/>
                <wp:docPr id="81901920" name="Picture 3"/>
                <wp:cNvGraphicFramePr/>
                <a:graphic xmlns:a="http://schemas.openxmlformats.org/drawingml/2006/main">
                  <a:graphicData uri="http://schemas.openxmlformats.org/drawingml/2006/picture">
                    <pic:pic xmlns:pic="http://schemas.openxmlformats.org/drawingml/2006/picture">
                      <pic:nvPicPr>
                        <pic:cNvPr id="81901920" name="Picture 3"/>
                        <pic:cNvPicPr/>
                      </pic:nvPicPr>
                      <pic:blipFill>
                        <a:blip r:embed="rId1">
                          <a:extLst>
                            <a:ext uri="{28A0092B-C50C-407E-A947-70E740481C1C}">
                              <a14:useLocalDpi xmlns:a14="http://schemas.microsoft.com/office/drawing/2010/main" val="0"/>
                            </a:ext>
                          </a:extLst>
                        </a:blip>
                        <a:srcRect/>
                        <a:stretch>
                          <a:fillRect/>
                        </a:stretch>
                      </pic:blipFill>
                      <pic:spPr>
                        <a:xfrm>
                          <a:off x="0" y="0"/>
                          <a:ext cx="569595" cy="795020"/>
                        </a:xfrm>
                        <a:prstGeom prst="rect">
                          <a:avLst/>
                        </a:prstGeom>
                        <a:noFill/>
                        <a:ln>
                          <a:noFill/>
                        </a:ln>
                      </pic:spPr>
                    </pic:pic>
                  </a:graphicData>
                </a:graphic>
              </wp:anchor>
            </w:drawing>
          </w:r>
        </w:p>
      </w:tc>
    </w:tr>
    <w:tr w:rsidR="000F4686">
      <w:trPr>
        <w:trHeight w:val="1101"/>
      </w:trPr>
      <w:tc>
        <w:tcPr>
          <w:tcW w:w="1060" w:type="dxa"/>
          <w:shd w:val="clear" w:color="auto" w:fill="auto"/>
          <w:vAlign w:val="center"/>
        </w:tcPr>
        <w:p w:rsidR="000F4686" w:rsidRDefault="000F4686">
          <w:pPr>
            <w:pStyle w:val="Header"/>
            <w:jc w:val="center"/>
          </w:pPr>
        </w:p>
      </w:tc>
      <w:tc>
        <w:tcPr>
          <w:tcW w:w="7076" w:type="dxa"/>
          <w:shd w:val="clear" w:color="auto" w:fill="DEEAF6"/>
          <w:vAlign w:val="center"/>
        </w:tcPr>
        <w:p w:rsidR="000F4686" w:rsidRDefault="00000000">
          <w:pPr>
            <w:pStyle w:val="Header"/>
            <w:spacing w:before="120"/>
            <w:jc w:val="center"/>
            <w:rPr>
              <w:rFonts w:ascii="Arial" w:hAnsi="Arial" w:cs="Arial"/>
              <w:b/>
              <w:sz w:val="32"/>
            </w:rPr>
          </w:pPr>
          <w:r>
            <w:rPr>
              <w:rFonts w:ascii="Arial" w:hAnsi="Arial" w:cs="Arial"/>
              <w:sz w:val="13"/>
            </w:rPr>
            <w:t xml:space="preserve">Available </w:t>
          </w:r>
          <w:r>
            <w:rPr>
              <w:rFonts w:ascii="Arial" w:hAnsi="Arial" w:cs="Arial"/>
              <w:i/>
              <w:sz w:val="13"/>
            </w:rPr>
            <w:t>online</w:t>
          </w:r>
          <w:r>
            <w:rPr>
              <w:rFonts w:ascii="Arial" w:hAnsi="Arial" w:cs="Arial"/>
              <w:sz w:val="13"/>
            </w:rPr>
            <w:t xml:space="preserve"> </w:t>
          </w:r>
          <w:proofErr w:type="gramStart"/>
          <w:r>
            <w:rPr>
              <w:rFonts w:ascii="Arial" w:hAnsi="Arial" w:cs="Arial"/>
              <w:sz w:val="13"/>
            </w:rPr>
            <w:t>at :</w:t>
          </w:r>
          <w:proofErr w:type="gramEnd"/>
          <w:r>
            <w:rPr>
              <w:rFonts w:ascii="Arial" w:hAnsi="Arial" w:cs="Arial"/>
              <w:sz w:val="13"/>
            </w:rPr>
            <w:t xml:space="preserve"> </w:t>
          </w:r>
          <w:hyperlink r:id="rId2" w:history="1">
            <w:r>
              <w:rPr>
                <w:rStyle w:val="Hyperlink"/>
                <w:rFonts w:ascii="Arial" w:hAnsi="Arial" w:cs="Arial"/>
                <w:sz w:val="13"/>
              </w:rPr>
              <w:t>http://</w:t>
            </w:r>
            <w:r>
              <w:rPr>
                <w:rStyle w:val="Hyperlink"/>
                <w:rFonts w:ascii="Arial" w:hAnsi="Arial" w:cs="Arial"/>
                <w:sz w:val="13"/>
                <w:lang w:eastAsia="ja-JP"/>
              </w:rPr>
              <w:t>jurnalantropologi</w:t>
            </w:r>
            <w:r>
              <w:rPr>
                <w:rStyle w:val="Hyperlink"/>
                <w:rFonts w:ascii="Arial" w:hAnsi="Arial" w:cs="Arial"/>
                <w:sz w:val="13"/>
              </w:rPr>
              <w:t>.f</w:t>
            </w:r>
            <w:r>
              <w:rPr>
                <w:rStyle w:val="Hyperlink"/>
                <w:rFonts w:ascii="Arial" w:hAnsi="Arial" w:cs="Arial"/>
                <w:sz w:val="13"/>
                <w:lang w:eastAsia="ja-JP"/>
              </w:rPr>
              <w:t>isip</w:t>
            </w:r>
            <w:r>
              <w:rPr>
                <w:rStyle w:val="Hyperlink"/>
                <w:rFonts w:ascii="Arial" w:hAnsi="Arial" w:cs="Arial"/>
                <w:sz w:val="13"/>
              </w:rPr>
              <w:t>.unand.ac.id/</w:t>
            </w:r>
          </w:hyperlink>
        </w:p>
        <w:p w:rsidR="000F4686" w:rsidRDefault="00000000">
          <w:pPr>
            <w:pStyle w:val="Header"/>
            <w:spacing w:before="120" w:after="120"/>
            <w:jc w:val="center"/>
            <w:rPr>
              <w:rFonts w:ascii="Arial" w:hAnsi="Arial" w:cs="Arial"/>
              <w:b/>
              <w:sz w:val="36"/>
              <w:lang w:eastAsia="ja-JP"/>
            </w:rPr>
          </w:pPr>
          <w:proofErr w:type="spellStart"/>
          <w:r>
            <w:rPr>
              <w:rFonts w:ascii="Arial" w:hAnsi="Arial" w:cs="Arial"/>
              <w:b/>
              <w:sz w:val="32"/>
            </w:rPr>
            <w:t>Jurnal</w:t>
          </w:r>
          <w:proofErr w:type="spellEnd"/>
          <w:r>
            <w:rPr>
              <w:rFonts w:ascii="Arial" w:hAnsi="Arial" w:cs="Arial"/>
              <w:b/>
              <w:sz w:val="32"/>
            </w:rPr>
            <w:t xml:space="preserve"> </w:t>
          </w:r>
          <w:proofErr w:type="spellStart"/>
          <w:r>
            <w:rPr>
              <w:rFonts w:ascii="Arial" w:hAnsi="Arial" w:cs="Arial"/>
              <w:b/>
              <w:sz w:val="32"/>
              <w:lang w:eastAsia="ja-JP"/>
            </w:rPr>
            <w:t>Antropologi</w:t>
          </w:r>
          <w:proofErr w:type="spellEnd"/>
          <w:r>
            <w:rPr>
              <w:rFonts w:ascii="Arial" w:hAnsi="Arial" w:cs="Arial"/>
              <w:b/>
              <w:sz w:val="32"/>
              <w:lang w:eastAsia="ja-JP"/>
            </w:rPr>
            <w:t xml:space="preserve">: </w:t>
          </w:r>
          <w:proofErr w:type="spellStart"/>
          <w:r>
            <w:rPr>
              <w:rFonts w:ascii="Arial" w:hAnsi="Arial" w:cs="Arial"/>
              <w:b/>
              <w:sz w:val="32"/>
              <w:lang w:eastAsia="ja-JP"/>
            </w:rPr>
            <w:t>Isu-Isu</w:t>
          </w:r>
          <w:proofErr w:type="spellEnd"/>
          <w:r>
            <w:rPr>
              <w:rFonts w:ascii="Arial" w:hAnsi="Arial" w:cs="Arial"/>
              <w:b/>
              <w:sz w:val="32"/>
              <w:lang w:eastAsia="ja-JP"/>
            </w:rPr>
            <w:t xml:space="preserve"> </w:t>
          </w:r>
          <w:proofErr w:type="spellStart"/>
          <w:r>
            <w:rPr>
              <w:rFonts w:ascii="Arial" w:hAnsi="Arial" w:cs="Arial"/>
              <w:b/>
              <w:sz w:val="32"/>
              <w:lang w:eastAsia="ja-JP"/>
            </w:rPr>
            <w:t>Sosial</w:t>
          </w:r>
          <w:proofErr w:type="spellEnd"/>
          <w:r>
            <w:rPr>
              <w:rFonts w:ascii="Arial" w:hAnsi="Arial" w:cs="Arial"/>
              <w:b/>
              <w:sz w:val="32"/>
              <w:lang w:eastAsia="ja-JP"/>
            </w:rPr>
            <w:t xml:space="preserve"> </w:t>
          </w:r>
          <w:proofErr w:type="spellStart"/>
          <w:r>
            <w:rPr>
              <w:rFonts w:ascii="Arial" w:hAnsi="Arial" w:cs="Arial"/>
              <w:b/>
              <w:sz w:val="32"/>
              <w:lang w:eastAsia="ja-JP"/>
            </w:rPr>
            <w:t>Budaya</w:t>
          </w:r>
          <w:proofErr w:type="spellEnd"/>
        </w:p>
        <w:p w:rsidR="000F4686" w:rsidRDefault="00000000">
          <w:pPr>
            <w:pStyle w:val="Header"/>
            <w:spacing w:after="120"/>
            <w:jc w:val="center"/>
            <w:rPr>
              <w:rFonts w:ascii="Arial" w:hAnsi="Arial" w:cs="Arial"/>
              <w:b/>
              <w:sz w:val="13"/>
            </w:rPr>
          </w:pPr>
          <w:r>
            <w:rPr>
              <w:rStyle w:val="Hyperlink"/>
              <w:rFonts w:ascii="Arial" w:hAnsi="Arial" w:cs="Arial"/>
              <w:b/>
              <w:color w:val="auto"/>
              <w:sz w:val="13"/>
              <w:u w:val="none"/>
            </w:rPr>
            <w:t>|</w:t>
          </w:r>
          <w:r>
            <w:rPr>
              <w:rStyle w:val="Hyperlink"/>
              <w:rFonts w:ascii="Arial" w:hAnsi="Arial" w:cs="Arial"/>
              <w:b/>
              <w:color w:val="auto"/>
              <w:sz w:val="13"/>
              <w:u w:val="none"/>
              <w:lang w:eastAsia="ja-JP"/>
            </w:rPr>
            <w:t xml:space="preserve">   </w:t>
          </w:r>
          <w:r>
            <w:rPr>
              <w:rStyle w:val="Hyperlink"/>
              <w:rFonts w:ascii="Arial" w:hAnsi="Arial" w:cs="Arial"/>
              <w:b/>
              <w:color w:val="auto"/>
              <w:sz w:val="13"/>
              <w:u w:val="none"/>
            </w:rPr>
            <w:t xml:space="preserve">ISSN (Online) </w:t>
          </w:r>
          <w:r>
            <w:rPr>
              <w:rStyle w:val="Hyperlink"/>
              <w:rFonts w:ascii="Arial" w:hAnsi="Arial" w:cs="Arial"/>
              <w:b/>
              <w:color w:val="auto"/>
              <w:sz w:val="13"/>
              <w:u w:val="none"/>
              <w:lang w:eastAsia="ja-JP"/>
            </w:rPr>
            <w:t>2355-5963</w:t>
          </w:r>
          <w:r>
            <w:rPr>
              <w:rStyle w:val="Hyperlink"/>
              <w:rFonts w:ascii="Arial" w:hAnsi="Arial" w:cs="Arial"/>
              <w:b/>
              <w:color w:val="auto"/>
              <w:sz w:val="13"/>
              <w:u w:val="none"/>
            </w:rPr>
            <w:t xml:space="preserve">    |</w:t>
          </w:r>
        </w:p>
      </w:tc>
      <w:tc>
        <w:tcPr>
          <w:tcW w:w="1792" w:type="dxa"/>
          <w:vAlign w:val="center"/>
        </w:tcPr>
        <w:p w:rsidR="000F4686" w:rsidRDefault="00000000">
          <w:pPr>
            <w:pStyle w:val="Header"/>
            <w:jc w:val="center"/>
          </w:pPr>
          <w:r>
            <w:rPr>
              <w:noProof/>
              <w:lang w:val="zh-CN" w:eastAsia="ja-JP"/>
            </w:rPr>
            <w:drawing>
              <wp:inline distT="0" distB="0" distL="0" distR="0">
                <wp:extent cx="1217295" cy="635635"/>
                <wp:effectExtent l="0" t="0" r="0" b="0"/>
                <wp:docPr id="2" name="Picture 6"/>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3">
                          <a:extLst>
                            <a:ext uri="{28A0092B-C50C-407E-A947-70E740481C1C}">
                              <a14:useLocalDpi xmlns:a14="http://schemas.microsoft.com/office/drawing/2010/main" val="0"/>
                            </a:ext>
                          </a:extLst>
                        </a:blip>
                        <a:srcRect/>
                        <a:stretch>
                          <a:fillRect/>
                        </a:stretch>
                      </pic:blipFill>
                      <pic:spPr>
                        <a:xfrm>
                          <a:off x="0" y="0"/>
                          <a:ext cx="1217295" cy="635635"/>
                        </a:xfrm>
                        <a:prstGeom prst="rect">
                          <a:avLst/>
                        </a:prstGeom>
                        <a:noFill/>
                        <a:ln>
                          <a:noFill/>
                        </a:ln>
                      </pic:spPr>
                    </pic:pic>
                  </a:graphicData>
                </a:graphic>
              </wp:inline>
            </w:drawing>
          </w:r>
        </w:p>
      </w:tc>
    </w:tr>
    <w:tr w:rsidR="000F4686">
      <w:trPr>
        <w:trHeight w:val="97"/>
      </w:trPr>
      <w:tc>
        <w:tcPr>
          <w:tcW w:w="9928" w:type="dxa"/>
          <w:gridSpan w:val="3"/>
          <w:tcBorders>
            <w:bottom w:val="single" w:sz="24" w:space="0" w:color="auto"/>
          </w:tcBorders>
        </w:tcPr>
        <w:p w:rsidR="000F4686" w:rsidRDefault="000F4686">
          <w:pPr>
            <w:pStyle w:val="Header"/>
            <w:rPr>
              <w:sz w:val="6"/>
            </w:rPr>
          </w:pPr>
        </w:p>
      </w:tc>
    </w:tr>
  </w:tbl>
  <w:p w:rsidR="000F4686" w:rsidRDefault="000F46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4686" w:rsidRDefault="00000000">
    <w:pPr>
      <w:pStyle w:val="Header"/>
      <w:jc w:val="center"/>
    </w:pPr>
    <w:r>
      <w:rPr>
        <w:rFonts w:cs="Times New Roman"/>
        <w:smallCaps/>
        <w:color w:val="808080"/>
        <w:sz w:val="13"/>
        <w:szCs w:val="15"/>
      </w:rPr>
      <w:t>First Author /</w:t>
    </w:r>
    <w:proofErr w:type="spellStart"/>
    <w:r>
      <w:rPr>
        <w:rFonts w:ascii="Arial" w:hAnsi="Arial" w:cs="Arial"/>
        <w:smallCaps/>
        <w:color w:val="808080"/>
        <w:sz w:val="13"/>
        <w:szCs w:val="13"/>
      </w:rPr>
      <w:t>Jurnal</w:t>
    </w:r>
    <w:proofErr w:type="spellEnd"/>
    <w:r>
      <w:rPr>
        <w:rFonts w:ascii="Arial" w:hAnsi="Arial" w:cs="Arial"/>
        <w:smallCaps/>
        <w:color w:val="808080"/>
        <w:sz w:val="13"/>
        <w:szCs w:val="13"/>
      </w:rPr>
      <w:t xml:space="preserve"> </w:t>
    </w:r>
    <w:proofErr w:type="spellStart"/>
    <w:r>
      <w:rPr>
        <w:rFonts w:ascii="Arial" w:hAnsi="Arial" w:cs="Arial"/>
        <w:smallCaps/>
        <w:color w:val="808080"/>
        <w:sz w:val="13"/>
        <w:szCs w:val="13"/>
      </w:rPr>
      <w:t>Antrop</w:t>
    </w:r>
    <w:r>
      <w:rPr>
        <w:rFonts w:ascii="Arial" w:hAnsi="Arial" w:cs="Arial"/>
        <w:smallCaps/>
        <w:color w:val="808080"/>
        <w:sz w:val="13"/>
        <w:szCs w:val="13"/>
        <w:lang w:eastAsia="ja-JP"/>
      </w:rPr>
      <w:t>ologi</w:t>
    </w:r>
    <w:proofErr w:type="spellEnd"/>
    <w:r>
      <w:rPr>
        <w:rFonts w:ascii="Arial" w:hAnsi="Arial" w:cs="Arial"/>
        <w:smallCaps/>
        <w:color w:val="808080"/>
        <w:sz w:val="13"/>
        <w:szCs w:val="13"/>
        <w:lang w:eastAsia="ja-JP"/>
      </w:rPr>
      <w:t xml:space="preserve">: </w:t>
    </w:r>
    <w:proofErr w:type="spellStart"/>
    <w:r>
      <w:rPr>
        <w:rFonts w:ascii="Arial" w:hAnsi="Arial" w:cs="Arial"/>
        <w:smallCaps/>
        <w:color w:val="808080"/>
        <w:sz w:val="13"/>
        <w:szCs w:val="13"/>
        <w:lang w:eastAsia="ja-JP"/>
      </w:rPr>
      <w:t>isu-isu</w:t>
    </w:r>
    <w:proofErr w:type="spellEnd"/>
    <w:r>
      <w:rPr>
        <w:rFonts w:ascii="Arial" w:hAnsi="Arial" w:cs="Arial"/>
        <w:smallCaps/>
        <w:color w:val="808080"/>
        <w:sz w:val="13"/>
        <w:szCs w:val="13"/>
        <w:lang w:eastAsia="ja-JP"/>
      </w:rPr>
      <w:t xml:space="preserve"> </w:t>
    </w:r>
    <w:proofErr w:type="spellStart"/>
    <w:r>
      <w:rPr>
        <w:rFonts w:ascii="Arial" w:hAnsi="Arial" w:cs="Arial"/>
        <w:smallCaps/>
        <w:color w:val="808080"/>
        <w:sz w:val="13"/>
        <w:szCs w:val="13"/>
        <w:lang w:eastAsia="ja-JP"/>
      </w:rPr>
      <w:t>sosial</w:t>
    </w:r>
    <w:proofErr w:type="spellEnd"/>
    <w:r>
      <w:rPr>
        <w:rFonts w:ascii="Arial" w:hAnsi="Arial" w:cs="Arial"/>
        <w:smallCaps/>
        <w:color w:val="808080"/>
        <w:sz w:val="13"/>
        <w:szCs w:val="13"/>
        <w:lang w:eastAsia="ja-JP"/>
      </w:rPr>
      <w:t xml:space="preserve"> </w:t>
    </w:r>
    <w:proofErr w:type="spellStart"/>
    <w:r>
      <w:rPr>
        <w:rFonts w:ascii="Arial" w:hAnsi="Arial" w:cs="Arial"/>
        <w:smallCaps/>
        <w:color w:val="808080"/>
        <w:sz w:val="13"/>
        <w:szCs w:val="13"/>
        <w:lang w:eastAsia="ja-JP"/>
      </w:rPr>
      <w:t>budaya</w:t>
    </w:r>
    <w:proofErr w:type="spellEnd"/>
    <w:r>
      <w:rPr>
        <w:rFonts w:ascii="Arial" w:hAnsi="Arial" w:cs="Arial"/>
        <w:smallCaps/>
        <w:color w:val="808080"/>
        <w:sz w:val="13"/>
        <w:szCs w:val="13"/>
      </w:rPr>
      <w:t xml:space="preserve"> </w:t>
    </w:r>
    <w:r>
      <w:rPr>
        <w:rFonts w:cs="Times New Roman"/>
        <w:smallCaps/>
        <w:color w:val="808080"/>
        <w:sz w:val="13"/>
        <w:szCs w:val="15"/>
      </w:rPr>
      <w:t>- Vol. xx No. xx (2017)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6666C9"/>
    <w:multiLevelType w:val="multilevel"/>
    <w:tmpl w:val="0F6666C9"/>
    <w:lvl w:ilvl="0">
      <w:start w:val="1"/>
      <w:numFmt w:val="upperLetter"/>
      <w:lvlText w:val="%1."/>
      <w:lvlJc w:val="left"/>
      <w:pPr>
        <w:ind w:left="720" w:hanging="360"/>
      </w:pPr>
      <w:rPr>
        <w:rFonts w:eastAsia="MS Mincho"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8BE9191"/>
    <w:multiLevelType w:val="singleLevel"/>
    <w:tmpl w:val="58BE9191"/>
    <w:lvl w:ilvl="0">
      <w:start w:val="2"/>
      <w:numFmt w:val="decimal"/>
      <w:suff w:val="space"/>
      <w:lvlText w:val="%1."/>
      <w:lvlJc w:val="left"/>
    </w:lvl>
  </w:abstractNum>
  <w:num w:numId="1" w16cid:durableId="1765875597">
    <w:abstractNumId w:val="0"/>
  </w:num>
  <w:num w:numId="2" w16cid:durableId="2040079341">
    <w:abstractNumId w:val="1"/>
  </w:num>
  <w:num w:numId="3" w16cid:durableId="1961380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zNDCxNDMxMjE3NDZT0lEKTi0uzszPAykwqQUAUO/PfCwAAAA="/>
  </w:docVars>
  <w:rsids>
    <w:rsidRoot w:val="00410BFF"/>
    <w:rsid w:val="00012448"/>
    <w:rsid w:val="00097B12"/>
    <w:rsid w:val="000F4686"/>
    <w:rsid w:val="00182937"/>
    <w:rsid w:val="00246AB6"/>
    <w:rsid w:val="0025083C"/>
    <w:rsid w:val="00291D89"/>
    <w:rsid w:val="002C0A4F"/>
    <w:rsid w:val="002D55B0"/>
    <w:rsid w:val="00322CB4"/>
    <w:rsid w:val="003B03E2"/>
    <w:rsid w:val="003B1C76"/>
    <w:rsid w:val="00410BFF"/>
    <w:rsid w:val="004303F1"/>
    <w:rsid w:val="005A7300"/>
    <w:rsid w:val="00645CDD"/>
    <w:rsid w:val="00696A4F"/>
    <w:rsid w:val="006C2ACD"/>
    <w:rsid w:val="0074286D"/>
    <w:rsid w:val="00743C1E"/>
    <w:rsid w:val="007A2B0B"/>
    <w:rsid w:val="007A59A1"/>
    <w:rsid w:val="00885461"/>
    <w:rsid w:val="008B5A71"/>
    <w:rsid w:val="008C1388"/>
    <w:rsid w:val="009149CF"/>
    <w:rsid w:val="00B74402"/>
    <w:rsid w:val="00BE094B"/>
    <w:rsid w:val="00C2641F"/>
    <w:rsid w:val="00D55A51"/>
    <w:rsid w:val="00E23F25"/>
    <w:rsid w:val="00E93F1C"/>
    <w:rsid w:val="00EC28C1"/>
    <w:rsid w:val="00EF62CB"/>
    <w:rsid w:val="00F370F9"/>
    <w:rsid w:val="00FE46BE"/>
    <w:rsid w:val="1EF79E98"/>
    <w:rsid w:val="63962E4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4B67A39"/>
  <w15:docId w15:val="{D8B02297-CB67-A24E-85C4-A84BCD49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SimSu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rFonts w:ascii="Times New Roman" w:hAnsi="Times New Roman"/>
      <w:sz w:val="18"/>
      <w:szCs w:val="24"/>
      <w:lang w:val="en-US"/>
    </w:rPr>
  </w:style>
  <w:style w:type="paragraph" w:styleId="Heading1">
    <w:name w:val="heading 1"/>
    <w:basedOn w:val="Normal"/>
    <w:next w:val="Normal"/>
    <w:link w:val="Heading1Char"/>
    <w:uiPriority w:val="9"/>
    <w:qFormat/>
    <w:pPr>
      <w:keepNext/>
      <w:keepLines/>
      <w:numPr>
        <w:numId w:val="1"/>
      </w:numPr>
      <w:spacing w:before="240" w:after="240"/>
      <w:jc w:val="left"/>
      <w:outlineLvl w:val="0"/>
    </w:pPr>
    <w:rPr>
      <w:rFonts w:eastAsia="SimSun"/>
      <w:b/>
      <w:bCs/>
      <w:sz w:val="21"/>
      <w:szCs w:val="32"/>
      <w:lang w:val="id-ID"/>
    </w:rPr>
  </w:style>
  <w:style w:type="paragraph" w:styleId="Heading2">
    <w:name w:val="heading 2"/>
    <w:basedOn w:val="Heading1"/>
    <w:next w:val="Normal"/>
    <w:link w:val="Heading2Char"/>
    <w:uiPriority w:val="9"/>
    <w:qFormat/>
    <w:pPr>
      <w:numPr>
        <w:ilvl w:val="1"/>
        <w:numId w:val="0"/>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qFormat/>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pPr>
      <w:spacing w:line="240" w:lineRule="auto"/>
    </w:pPr>
    <w:rPr>
      <w:rFonts w:ascii="Tahoma" w:hAnsi="Tahoma" w:cs="Tahoma"/>
      <w:sz w:val="16"/>
      <w:szCs w:val="16"/>
    </w:rPr>
  </w:style>
  <w:style w:type="character" w:styleId="Emphasis">
    <w:name w:val="Emphasis"/>
    <w:uiPriority w:val="20"/>
    <w:qFormat/>
    <w:rPr>
      <w:i/>
      <w:iCs/>
    </w:rPr>
  </w:style>
  <w:style w:type="character" w:styleId="FollowedHyperlink">
    <w:name w:val="FollowedHyperlink"/>
    <w:uiPriority w:val="99"/>
    <w:qFormat/>
    <w:rPr>
      <w:color w:val="954F72"/>
      <w:u w:val="single"/>
    </w:rPr>
  </w:style>
  <w:style w:type="paragraph" w:styleId="Footer">
    <w:name w:val="footer"/>
    <w:basedOn w:val="Normal"/>
    <w:link w:val="FooterChar"/>
    <w:uiPriority w:val="99"/>
    <w:qFormat/>
    <w:pPr>
      <w:tabs>
        <w:tab w:val="center" w:pos="4680"/>
        <w:tab w:val="right" w:pos="9360"/>
      </w:tabs>
    </w:p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pPr>
      <w:spacing w:line="240" w:lineRule="auto"/>
      <w:jc w:val="left"/>
    </w:pPr>
    <w:rPr>
      <w:rFonts w:eastAsia="SimSun" w:cs="Times New Roman"/>
      <w:sz w:val="20"/>
      <w:szCs w:val="20"/>
      <w:lang w:eastAsia="zh-CN"/>
    </w:rPr>
  </w:style>
  <w:style w:type="paragraph" w:styleId="Header">
    <w:name w:val="header"/>
    <w:basedOn w:val="Normal"/>
    <w:link w:val="HeaderChar"/>
    <w:uiPriority w:val="99"/>
    <w:qFormat/>
    <w:pPr>
      <w:tabs>
        <w:tab w:val="center" w:pos="4680"/>
        <w:tab w:val="right" w:pos="9360"/>
      </w:tabs>
    </w:pPr>
  </w:style>
  <w:style w:type="character" w:styleId="Hyperlink">
    <w:name w:val="Hyperlink"/>
    <w:uiPriority w:val="99"/>
    <w:qFormat/>
    <w:rPr>
      <w:color w:val="0563C1"/>
      <w:u w:val="single"/>
    </w:rPr>
  </w:style>
  <w:style w:type="character" w:styleId="PageNumber">
    <w:name w:val="page number"/>
    <w:basedOn w:val="DefaultParagraphFont"/>
    <w:uiPriority w:val="99"/>
    <w:qForma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120"/>
      <w:contextualSpacing/>
    </w:pPr>
    <w:rPr>
      <w:rFonts w:eastAsia="SimSun"/>
      <w:spacing w:val="-10"/>
      <w:kern w:val="28"/>
      <w:sz w:val="32"/>
      <w:szCs w:val="56"/>
    </w:rPr>
  </w:style>
  <w:style w:type="character" w:customStyle="1" w:styleId="Heading1Char">
    <w:name w:val="Heading 1 Char"/>
    <w:link w:val="Heading1"/>
    <w:qFormat/>
    <w:rPr>
      <w:rFonts w:ascii="Times New Roman" w:eastAsia="SimSun" w:hAnsi="Times New Roman" w:cs="SimSun"/>
      <w:b/>
      <w:bCs/>
      <w:sz w:val="21"/>
      <w:szCs w:val="32"/>
      <w:lang w:val="id-ID"/>
    </w:rPr>
  </w:style>
  <w:style w:type="character" w:customStyle="1" w:styleId="Heading2Char">
    <w:name w:val="Heading 2 Char"/>
    <w:link w:val="Heading2"/>
    <w:uiPriority w:val="9"/>
    <w:qFormat/>
    <w:rPr>
      <w:rFonts w:ascii="Times New Roman" w:eastAsia="SimSun" w:hAnsi="Times New Roman" w:cs="SimSun"/>
      <w:b/>
      <w:i/>
      <w:iCs/>
      <w:sz w:val="20"/>
      <w:szCs w:val="26"/>
      <w:lang w:val="id-ID"/>
    </w:rPr>
  </w:style>
  <w:style w:type="character" w:customStyle="1" w:styleId="Heading3Char">
    <w:name w:val="Heading 3 Char"/>
    <w:link w:val="Heading3"/>
    <w:uiPriority w:val="9"/>
    <w:qFormat/>
    <w:rPr>
      <w:rFonts w:ascii="Times New Roman" w:eastAsia="SimSun" w:hAnsi="Times New Roman" w:cs="SimSun"/>
      <w:i/>
      <w:iCs/>
      <w:sz w:val="20"/>
      <w:szCs w:val="26"/>
      <w:lang w:val="id-ID"/>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qFormat/>
    <w:rPr>
      <w:rFonts w:ascii="Times New Roman" w:eastAsia="SimSun" w:hAnsi="Times New Roman" w:cs="Times New Roman"/>
      <w:sz w:val="20"/>
      <w:szCs w:val="20"/>
      <w:lang w:eastAsia="zh-CN"/>
    </w:rPr>
  </w:style>
  <w:style w:type="character" w:customStyle="1" w:styleId="HeaderChar">
    <w:name w:val="Header Char"/>
    <w:basedOn w:val="DefaultParagraphFont"/>
    <w:link w:val="Header"/>
    <w:uiPriority w:val="99"/>
    <w:qFormat/>
  </w:style>
  <w:style w:type="character" w:customStyle="1" w:styleId="TitleChar">
    <w:name w:val="Title Char"/>
    <w:link w:val="Title"/>
    <w:uiPriority w:val="10"/>
    <w:qFormat/>
    <w:rPr>
      <w:rFonts w:ascii="Times New Roman" w:eastAsia="SimSun" w:hAnsi="Times New Roman" w:cs="SimSun"/>
      <w:spacing w:val="-10"/>
      <w:kern w:val="28"/>
      <w:sz w:val="32"/>
      <w:szCs w:val="56"/>
    </w:rPr>
  </w:style>
  <w:style w:type="paragraph" w:customStyle="1" w:styleId="Author">
    <w:name w:val="Author"/>
    <w:basedOn w:val="Normal"/>
    <w:next w:val="Normal"/>
    <w:qFormat/>
    <w:pPr>
      <w:spacing w:before="120" w:after="120"/>
    </w:pPr>
    <w:rPr>
      <w:rFonts w:cs="Times New Roman"/>
      <w:i/>
      <w:sz w:val="24"/>
    </w:rPr>
  </w:style>
  <w:style w:type="paragraph" w:customStyle="1" w:styleId="Affiliation">
    <w:name w:val="Affiliation"/>
    <w:basedOn w:val="Normal"/>
    <w:next w:val="Normal"/>
    <w:qFormat/>
    <w:rPr>
      <w:i/>
      <w:sz w:val="16"/>
      <w:szCs w:val="18"/>
    </w:rPr>
  </w:style>
  <w:style w:type="paragraph" w:customStyle="1" w:styleId="Abstract">
    <w:name w:val="Abstract"/>
    <w:basedOn w:val="Normal"/>
    <w:next w:val="Normal"/>
    <w:qFormat/>
    <w:pPr>
      <w:spacing w:before="120" w:after="120"/>
      <w:jc w:val="left"/>
    </w:pPr>
    <w:rPr>
      <w:sz w:val="15"/>
    </w:rPr>
  </w:style>
  <w:style w:type="paragraph" w:customStyle="1" w:styleId="Els-equation">
    <w:name w:val="Els-equation"/>
    <w:next w:val="Normal"/>
    <w:qFormat/>
    <w:pPr>
      <w:widowControl w:val="0"/>
      <w:tabs>
        <w:tab w:val="right" w:pos="4320"/>
        <w:tab w:val="right" w:pos="9120"/>
      </w:tabs>
      <w:spacing w:before="230" w:after="230" w:line="360" w:lineRule="auto"/>
    </w:pPr>
    <w:rPr>
      <w:rFonts w:ascii="Times New Roman" w:eastAsia="SimSun" w:hAnsi="Times New Roman" w:cs="Times New Roman"/>
      <w:i/>
      <w:sz w:val="16"/>
      <w:lang w:val="en-US"/>
    </w:rPr>
  </w:style>
  <w:style w:type="paragraph" w:customStyle="1" w:styleId="Acknowledgement">
    <w:name w:val="Acknowledgement"/>
    <w:basedOn w:val="Heading1"/>
    <w:qFormat/>
    <w:pPr>
      <w:numPr>
        <w:numId w:val="0"/>
      </w:numPr>
    </w:pPr>
  </w:style>
  <w:style w:type="paragraph" w:styleId="ListParagraph">
    <w:name w:val="List Paragraph"/>
    <w:basedOn w:val="Normal"/>
    <w:uiPriority w:val="34"/>
    <w:qFormat/>
    <w:pPr>
      <w:ind w:left="720"/>
      <w:contextualSpacing/>
    </w:pPr>
  </w:style>
  <w:style w:type="character" w:styleId="PlaceholderText">
    <w:name w:val="Placeholder Text"/>
    <w:uiPriority w:val="99"/>
    <w:semiHidden/>
    <w:qFormat/>
    <w:rPr>
      <w:color w:val="808080"/>
    </w:rPr>
  </w:style>
  <w:style w:type="paragraph" w:customStyle="1" w:styleId="A">
    <w:name w:val="A"/>
    <w:basedOn w:val="Normal"/>
    <w:qFormat/>
    <w:pPr>
      <w:widowControl w:val="0"/>
      <w:suppressAutoHyphens/>
      <w:autoSpaceDE w:val="0"/>
      <w:autoSpaceDN w:val="0"/>
      <w:adjustRightInd w:val="0"/>
      <w:snapToGrid w:val="0"/>
      <w:spacing w:afterLines="250" w:line="240" w:lineRule="auto"/>
      <w:jc w:val="left"/>
    </w:pPr>
    <w:rPr>
      <w:rFonts w:ascii="Cambria" w:eastAsia="SimSun" w:hAnsi="Cambria" w:cs="Cambria"/>
      <w:b/>
      <w:bCs/>
      <w:color w:val="000000"/>
      <w:sz w:val="44"/>
      <w:szCs w:val="44"/>
    </w:rPr>
  </w:style>
  <w:style w:type="paragraph" w:customStyle="1" w:styleId="AA">
    <w:name w:val="AA"/>
    <w:basedOn w:val="Normal"/>
    <w:qFormat/>
    <w:pPr>
      <w:widowControl w:val="0"/>
      <w:autoSpaceDE w:val="0"/>
      <w:autoSpaceDN w:val="0"/>
      <w:adjustRightInd w:val="0"/>
      <w:snapToGrid w:val="0"/>
      <w:spacing w:afterLines="50" w:after="200" w:line="240" w:lineRule="auto"/>
      <w:jc w:val="left"/>
    </w:pPr>
    <w:rPr>
      <w:rFonts w:ascii="Cambria" w:eastAsia="SimSun" w:hAnsi="Cambria" w:cs="Cambria"/>
      <w:b/>
      <w:bCs/>
      <w:color w:val="943634"/>
      <w:sz w:val="24"/>
      <w:lang w:val="tr-TR"/>
    </w:rPr>
  </w:style>
  <w:style w:type="character" w:customStyle="1" w:styleId="allowtextselection">
    <w:name w:val="allowtextselection"/>
    <w:basedOn w:val="DefaultParagraphFont"/>
    <w:qFormat/>
  </w:style>
  <w:style w:type="character" w:customStyle="1" w:styleId="apple-converted-space">
    <w:name w:val="apple-converted-space"/>
    <w:basedOn w:val="DefaultParagraphFont"/>
    <w:qFormat/>
  </w:style>
  <w:style w:type="character" w:customStyle="1" w:styleId="hps">
    <w:name w:val="hps"/>
    <w:qFormat/>
  </w:style>
  <w:style w:type="paragraph" w:customStyle="1" w:styleId="Style1">
    <w:name w:val="Style1"/>
    <w:basedOn w:val="Normal"/>
    <w:qFormat/>
    <w:pPr>
      <w:spacing w:before="120" w:line="240" w:lineRule="auto"/>
    </w:pPr>
    <w:rPr>
      <w:rFonts w:ascii="Book Antiqua" w:hAnsi="Book Antiqua"/>
      <w:sz w:val="22"/>
      <w:szCs w:val="22"/>
    </w:rPr>
  </w:style>
  <w:style w:type="character" w:customStyle="1" w:styleId="16">
    <w:name w:val="16"/>
    <w:qFormat/>
    <w:rPr>
      <w:rFonts w:ascii="Calibri" w:hAnsi="Calibri" w:cs="Calibri" w:hint="default"/>
      <w:color w:val="0000FF"/>
      <w:u w:val="single"/>
    </w:rPr>
  </w:style>
  <w:style w:type="character" w:customStyle="1" w:styleId="17">
    <w:name w:val="17"/>
    <w:qFormat/>
    <w:rPr>
      <w:rFonts w:ascii="DengXian" w:eastAsia="DengXian" w:hAnsi="DengXian" w:hint="eastAsia"/>
      <w:color w:val="0000FF"/>
      <w:u w:val="single"/>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oi.org/10.1016/j.sbspro.2014.10.217" TargetMode="External"/><Relationship Id="rId21" Type="http://schemas.openxmlformats.org/officeDocument/2006/relationships/hyperlink" Target="https://doi.org/10.1191/030913200701540465" TargetMode="External"/><Relationship Id="rId42" Type="http://schemas.openxmlformats.org/officeDocument/2006/relationships/hyperlink" Target="https://doi.org/10.1016/j.proenv.2012.03.028" TargetMode="External"/><Relationship Id="rId47" Type="http://schemas.openxmlformats.org/officeDocument/2006/relationships/hyperlink" Target="https://doi.org/10.1080/09669582.2014.957208" TargetMode="External"/><Relationship Id="rId63" Type="http://schemas.openxmlformats.org/officeDocument/2006/relationships/hyperlink" Target="https://doi.org/10.1016/j.sbspro.2013.08.698" TargetMode="External"/><Relationship Id="rId68" Type="http://schemas.openxmlformats.org/officeDocument/2006/relationships/hyperlink" Target="https://doi.org/10.1016/j.gloenvcha.2010.12.009" TargetMode="External"/><Relationship Id="rId84" Type="http://schemas.openxmlformats.org/officeDocument/2006/relationships/hyperlink" Target="https://doi.org/10.21776/ub.jitode.2021.009.01.04" TargetMode="External"/><Relationship Id="rId89" Type="http://schemas.openxmlformats.org/officeDocument/2006/relationships/hyperlink" Target="https://doi.org/http:/dx.doi.org/10.1080/15256480.2016.1264906" TargetMode="External"/><Relationship Id="rId16" Type="http://schemas.openxmlformats.org/officeDocument/2006/relationships/image" Target="media/image6.png"/><Relationship Id="rId11" Type="http://schemas.openxmlformats.org/officeDocument/2006/relationships/header" Target="header3.xml"/><Relationship Id="rId32" Type="http://schemas.openxmlformats.org/officeDocument/2006/relationships/hyperlink" Target="https://doi.org/10.1080/2159676X.2019.1628806" TargetMode="External"/><Relationship Id="rId37" Type="http://schemas.openxmlformats.org/officeDocument/2006/relationships/hyperlink" Target="https://doi.org/10.1080/10941665.2020.1805478" TargetMode="External"/><Relationship Id="rId53" Type="http://schemas.openxmlformats.org/officeDocument/2006/relationships/hyperlink" Target="https://doi.org/10.1080/09669582.2020.1773476" TargetMode="External"/><Relationship Id="rId58" Type="http://schemas.openxmlformats.org/officeDocument/2006/relationships/hyperlink" Target="https://doi.org/10.1080/14616688.2012.675582" TargetMode="External"/><Relationship Id="rId74" Type="http://schemas.openxmlformats.org/officeDocument/2006/relationships/hyperlink" Target="https://doi.org/10.1080/14616688.2020.1757749" TargetMode="External"/><Relationship Id="rId79" Type="http://schemas.openxmlformats.org/officeDocument/2006/relationships/hyperlink" Target="https://doi.org/10.1016/j.ocecoaman.2021.105814" TargetMode="External"/><Relationship Id="rId5" Type="http://schemas.openxmlformats.org/officeDocument/2006/relationships/footnotes" Target="footnotes.xml"/><Relationship Id="rId90" Type="http://schemas.openxmlformats.org/officeDocument/2006/relationships/hyperlink" Target="https://doi.org/10.1080/14616688.2020.1759136" TargetMode="External"/><Relationship Id="rId95" Type="http://schemas.openxmlformats.org/officeDocument/2006/relationships/hyperlink" Target="https://doi.org/10.2167/cit342.0" TargetMode="External"/><Relationship Id="rId22" Type="http://schemas.openxmlformats.org/officeDocument/2006/relationships/hyperlink" Target="https://doi.org/10.1080/13683500.2020.1846504" TargetMode="External"/><Relationship Id="rId27" Type="http://schemas.openxmlformats.org/officeDocument/2006/relationships/hyperlink" Target="https://doi.org/10.1080/13683500.2015.1083538" TargetMode="External"/><Relationship Id="rId43" Type="http://schemas.openxmlformats.org/officeDocument/2006/relationships/hyperlink" Target="https://doi.org/10.1016/j.tourman.2018.12.010" TargetMode="External"/><Relationship Id="rId48" Type="http://schemas.openxmlformats.org/officeDocument/2006/relationships/hyperlink" Target="https://doi.org/10.1108/JTA-02-2019-0009" TargetMode="External"/><Relationship Id="rId64" Type="http://schemas.openxmlformats.org/officeDocument/2006/relationships/hyperlink" Target="https://doi.org/10.1080/13683500.2013.774323" TargetMode="External"/><Relationship Id="rId69" Type="http://schemas.openxmlformats.org/officeDocument/2006/relationships/hyperlink" Target="https://doi.org/10.1080/14616688.2013.864325" TargetMode="External"/><Relationship Id="rId80" Type="http://schemas.openxmlformats.org/officeDocument/2006/relationships/hyperlink" Target="https://doi.org/10.5614/ajht.2021.19.3.07" TargetMode="External"/><Relationship Id="rId85" Type="http://schemas.openxmlformats.org/officeDocument/2006/relationships/hyperlink" Target="https://doi.org/10.1080/1479053X.2010.503049" TargetMode="Externa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hyperlink" Target="https://doi.org/10.1080/14616688.2020.1759134" TargetMode="External"/><Relationship Id="rId33" Type="http://schemas.openxmlformats.org/officeDocument/2006/relationships/hyperlink" Target="https://doi.org/10.3763/cpol.2002.0217" TargetMode="External"/><Relationship Id="rId38" Type="http://schemas.openxmlformats.org/officeDocument/2006/relationships/hyperlink" Target="https://doi.org/10.1080/13683500.2020.1829570" TargetMode="External"/><Relationship Id="rId46" Type="http://schemas.openxmlformats.org/officeDocument/2006/relationships/hyperlink" Target="https://doi.org/10.1080/13683500.2011.555522" TargetMode="External"/><Relationship Id="rId59" Type="http://schemas.openxmlformats.org/officeDocument/2006/relationships/hyperlink" Target="https://doi.org/10.1111/jpm.12313" TargetMode="External"/><Relationship Id="rId67" Type="http://schemas.openxmlformats.org/officeDocument/2006/relationships/hyperlink" Target="https://doi.org/10.13106/JAFEB.2021.VOL8.NO4.0213" TargetMode="External"/><Relationship Id="rId20" Type="http://schemas.openxmlformats.org/officeDocument/2006/relationships/hyperlink" Target="https://doi.org/10.1080/14616688.2021.1916584" TargetMode="External"/><Relationship Id="rId41" Type="http://schemas.openxmlformats.org/officeDocument/2006/relationships/hyperlink" Target="https://doi.org/10.1108/JHTI-08-2020-0150" TargetMode="External"/><Relationship Id="rId54" Type="http://schemas.openxmlformats.org/officeDocument/2006/relationships/hyperlink" Target="https://doi.org/10.1023/A:1022364630327" TargetMode="External"/><Relationship Id="rId62" Type="http://schemas.openxmlformats.org/officeDocument/2006/relationships/hyperlink" Target="https://doi.org/10.1108/TR-02-2017-0024" TargetMode="External"/><Relationship Id="rId70" Type="http://schemas.openxmlformats.org/officeDocument/2006/relationships/hyperlink" Target="https://doi.org/10.1080/14616688.2020.1770326" TargetMode="External"/><Relationship Id="rId75" Type="http://schemas.openxmlformats.org/officeDocument/2006/relationships/hyperlink" Target="https://doi.org/10.1007/s10464-007-9156-6" TargetMode="External"/><Relationship Id="rId83" Type="http://schemas.openxmlformats.org/officeDocument/2006/relationships/hyperlink" Target="https://doi.org/10.1080/13683500.2021.1880377" TargetMode="External"/><Relationship Id="rId88" Type="http://schemas.openxmlformats.org/officeDocument/2006/relationships/hyperlink" Target="https://doi.org/10.1016/j.gloenvcha.2006.03.008" TargetMode="External"/><Relationship Id="rId91" Type="http://schemas.openxmlformats.org/officeDocument/2006/relationships/hyperlink" Target="https://doi.org/10.3126/jota.v3i1.31356" TargetMode="External"/><Relationship Id="rId96" Type="http://schemas.openxmlformats.org/officeDocument/2006/relationships/hyperlink" Target="https://doi.org/10.1177/00472875010400020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s://doi.org/10.1177/1468797605070330" TargetMode="External"/><Relationship Id="rId28" Type="http://schemas.openxmlformats.org/officeDocument/2006/relationships/hyperlink" Target="https://doi.org/10.1016/j.annals.2013.06.002" TargetMode="External"/><Relationship Id="rId36" Type="http://schemas.openxmlformats.org/officeDocument/2006/relationships/hyperlink" Target="https://doi.org/10.1080/14616688.2020.1768433" TargetMode="External"/><Relationship Id="rId49" Type="http://schemas.openxmlformats.org/officeDocument/2006/relationships/hyperlink" Target="https://doi.org/10.1108/JTA-02-2019-0009" TargetMode="External"/><Relationship Id="rId57" Type="http://schemas.openxmlformats.org/officeDocument/2006/relationships/hyperlink" Target="https://doi.org/10.1080/14616688.2020.1759131" TargetMode="External"/><Relationship Id="rId10" Type="http://schemas.openxmlformats.org/officeDocument/2006/relationships/footer" Target="footer2.xml"/><Relationship Id="rId31" Type="http://schemas.openxmlformats.org/officeDocument/2006/relationships/hyperlink" Target="https://doi.org/10.1080/13552074.2016.1142227" TargetMode="External"/><Relationship Id="rId44" Type="http://schemas.openxmlformats.org/officeDocument/2006/relationships/hyperlink" Target="https://doi.org/10.1080/09669580608669051" TargetMode="External"/><Relationship Id="rId52" Type="http://schemas.openxmlformats.org/officeDocument/2006/relationships/hyperlink" Target="https://doi.org/10.1016/j.gloenvcha.2006.05.002" TargetMode="External"/><Relationship Id="rId60" Type="http://schemas.openxmlformats.org/officeDocument/2006/relationships/hyperlink" Target="https://doi.org/10.1504/IJBEX.2012.048802" TargetMode="External"/><Relationship Id="rId65" Type="http://schemas.openxmlformats.org/officeDocument/2006/relationships/hyperlink" Target="https://doi.org/10.1080/13683500.2020.1850653" TargetMode="External"/><Relationship Id="rId73" Type="http://schemas.openxmlformats.org/officeDocument/2006/relationships/hyperlink" Target="https://doi.org/10.1016/j.tourman.2008.11.007" TargetMode="External"/><Relationship Id="rId78" Type="http://schemas.openxmlformats.org/officeDocument/2006/relationships/hyperlink" Target="https://doi.org/10.1016/j.tourman.2020.104275" TargetMode="External"/><Relationship Id="rId81" Type="http://schemas.openxmlformats.org/officeDocument/2006/relationships/hyperlink" Target="https://doi.org/10.3390/su13020906" TargetMode="External"/><Relationship Id="rId86" Type="http://schemas.openxmlformats.org/officeDocument/2006/relationships/hyperlink" Target="https://doi.org/10.1177/0950017019881939" TargetMode="External"/><Relationship Id="rId94" Type="http://schemas.openxmlformats.org/officeDocument/2006/relationships/hyperlink" Target="https://doi.org/10.1016/S0261-5177(99)00069-2" TargetMode="External"/><Relationship Id="rId99" Type="http://schemas.openxmlformats.org/officeDocument/2006/relationships/header" Target="header4.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hyperlink" Target="https://doi.org/10.1080/00220389608422465" TargetMode="External"/><Relationship Id="rId34" Type="http://schemas.openxmlformats.org/officeDocument/2006/relationships/hyperlink" Target="https://doi.org/10.1016/j.annals.2009.10.018" TargetMode="External"/><Relationship Id="rId50" Type="http://schemas.openxmlformats.org/officeDocument/2006/relationships/hyperlink" Target="https://doi.org/10.1016/j.annals.2020.102951" TargetMode="External"/><Relationship Id="rId55" Type="http://schemas.openxmlformats.org/officeDocument/2006/relationships/hyperlink" Target="https://doi.org/10.1080/09669582.2020.1758708" TargetMode="External"/><Relationship Id="rId76" Type="http://schemas.openxmlformats.org/officeDocument/2006/relationships/hyperlink" Target="https://doi.org/10.1080/13683500.2021.1883556" TargetMode="External"/><Relationship Id="rId97" Type="http://schemas.openxmlformats.org/officeDocument/2006/relationships/hyperlink" Target="https://doi.org/10.1080/21699763.2018.1526699" TargetMode="External"/><Relationship Id="rId7" Type="http://schemas.openxmlformats.org/officeDocument/2006/relationships/header" Target="header1.xml"/><Relationship Id="rId71" Type="http://schemas.openxmlformats.org/officeDocument/2006/relationships/hyperlink" Target="https://doi.org/10.1080/13683500.2010.512075" TargetMode="External"/><Relationship Id="rId92" Type="http://schemas.openxmlformats.org/officeDocument/2006/relationships/hyperlink" Target="https://www.unwto.org/news/unwto-announces-list-of-best-tourism-villages-" TargetMode="External"/><Relationship Id="rId2" Type="http://schemas.openxmlformats.org/officeDocument/2006/relationships/styles" Target="styles.xml"/><Relationship Id="rId29" Type="http://schemas.openxmlformats.org/officeDocument/2006/relationships/hyperlink" Target="https://doi.org/10.18666/jlr-2013-v45-i5-4365" TargetMode="External"/><Relationship Id="rId24" Type="http://schemas.openxmlformats.org/officeDocument/2006/relationships/hyperlink" Target="https://doi.org/10.1080/09669582.2019.1588283" TargetMode="External"/><Relationship Id="rId40" Type="http://schemas.openxmlformats.org/officeDocument/2006/relationships/hyperlink" Target="https://doi.org/10.1016/j.annals.2015.01.002" TargetMode="External"/><Relationship Id="rId45" Type="http://schemas.openxmlformats.org/officeDocument/2006/relationships/hyperlink" Target="https://doi.org/10.1080/13683500.2020.1773416" TargetMode="External"/><Relationship Id="rId66" Type="http://schemas.openxmlformats.org/officeDocument/2006/relationships/hyperlink" Target="https://doi.org/10.1002/jcop.20012" TargetMode="External"/><Relationship Id="rId87" Type="http://schemas.openxmlformats.org/officeDocument/2006/relationships/hyperlink" Target="https://doi.org/10.1080/09669580008667360" TargetMode="External"/><Relationship Id="rId61" Type="http://schemas.openxmlformats.org/officeDocument/2006/relationships/hyperlink" Target="https://doi.org/10.1080/14616688.2020.1763445" TargetMode="External"/><Relationship Id="rId82" Type="http://schemas.openxmlformats.org/officeDocument/2006/relationships/hyperlink" Target="https://doi.org/10.1016/j.annals.2016.12.011" TargetMode="External"/><Relationship Id="rId19" Type="http://schemas.openxmlformats.org/officeDocument/2006/relationships/hyperlink" Target="https://www.tokopedia.com/griyacokelat" TargetMode="External"/><Relationship Id="rId14" Type="http://schemas.openxmlformats.org/officeDocument/2006/relationships/image" Target="media/image4.png"/><Relationship Id="rId30" Type="http://schemas.openxmlformats.org/officeDocument/2006/relationships/hyperlink" Target="https://doi.org/10.1007/s10021-005-0140-4" TargetMode="External"/><Relationship Id="rId35" Type="http://schemas.openxmlformats.org/officeDocument/2006/relationships/hyperlink" Target="https://doi.org/10.1080/09669582.2013.826229" TargetMode="External"/><Relationship Id="rId56" Type="http://schemas.openxmlformats.org/officeDocument/2006/relationships/hyperlink" Target="https://doi.org/10.1504/IJISD.2006.012424" TargetMode="External"/><Relationship Id="rId77" Type="http://schemas.openxmlformats.org/officeDocument/2006/relationships/hyperlink" Target="https://doi.org/10.1080/13683500.2020.1849051" TargetMode="External"/><Relationship Id="rId100"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yperlink" Target="https://doi.org/10.1080/13683500.2020.1777951" TargetMode="External"/><Relationship Id="rId72" Type="http://schemas.openxmlformats.org/officeDocument/2006/relationships/hyperlink" Target="https://repositorio.cepal.org/handle/11362/46502" TargetMode="External"/><Relationship Id="rId93" Type="http://schemas.openxmlformats.org/officeDocument/2006/relationships/hyperlink" Target="https://doi.org/10.1080/09669582.2010.536242" TargetMode="External"/><Relationship Id="rId98" Type="http://schemas.openxmlformats.org/officeDocument/2006/relationships/hyperlink" Target="https://doi.org/10.1002/pad.1955" TargetMode="External"/><Relationship Id="rId3" Type="http://schemas.openxmlformats.org/officeDocument/2006/relationships/settings" Target="settings.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urnalantropologi.fisip.unand.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11651</Words>
  <Characters>66413</Characters>
  <Application>Microsoft Office Word</Application>
  <DocSecurity>0</DocSecurity>
  <Lines>553</Lines>
  <Paragraphs>155</Paragraphs>
  <ScaleCrop>false</ScaleCrop>
  <Company>Universitas Andalas</Company>
  <LinksUpToDate>false</LinksUpToDate>
  <CharactersWithSpaces>77909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Article template for authors in preparing their manuscripts to JOSI</dc:description>
  <cp:lastModifiedBy>Wiwik Sushartami</cp:lastModifiedBy>
  <cp:revision>2</cp:revision>
  <cp:lastPrinted>2017-05-02T08:56:00Z</cp:lastPrinted>
  <dcterms:created xsi:type="dcterms:W3CDTF">2024-02-27T09:19:00Z</dcterms:created>
  <dcterms:modified xsi:type="dcterms:W3CDTF">2024-02-27T09:19:00Z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